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5AD3FF">
      <w:pPr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苏州市姑苏区人民政府白洋湾街道办事处</w:t>
      </w:r>
    </w:p>
    <w:p w14:paraId="51EA938A">
      <w:pPr>
        <w:ind w:left="0" w:leftChars="0" w:firstLine="0" w:firstLineChars="0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年政府信息公开工作年度报告</w:t>
      </w:r>
    </w:p>
    <w:p w14:paraId="13EE6031">
      <w:pPr>
        <w:ind w:left="0" w:leftChars="0" w:firstLine="0" w:firstLineChars="0"/>
        <w:jc w:val="center"/>
        <w:rPr>
          <w:rFonts w:hint="default" w:ascii="Times New Roman" w:hAnsi="Times New Roman" w:cs="Times New Roman"/>
        </w:rPr>
      </w:pPr>
    </w:p>
    <w:p w14:paraId="213334E6">
      <w:pPr>
        <w:ind w:left="0" w:leftChars="0" w:firstLine="640" w:firstLineChars="200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根据《中华人民共和国政府信息公开条例》（以下简称《政府信息公开条例》）规定，现公布苏州市姑苏区</w:t>
      </w:r>
      <w:r>
        <w:rPr>
          <w:rFonts w:hint="default" w:ascii="Times New Roman" w:hAnsi="Times New Roman" w:cs="Times New Roman"/>
          <w:lang w:val="en-US" w:eastAsia="zh-CN"/>
        </w:rPr>
        <w:t>金阊新城（白洋湾街道）</w:t>
      </w: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hint="default" w:ascii="Times New Roman" w:hAnsi="Times New Roman" w:cs="Times New Roman"/>
        </w:rPr>
        <w:t>年政府信息公开工作年度报告。报告</w:t>
      </w:r>
      <w:r>
        <w:rPr>
          <w:rFonts w:hint="eastAsia" w:ascii="Times New Roman" w:hAnsi="Times New Roman" w:cs="Times New Roman"/>
          <w:lang w:val="en-US" w:eastAsia="zh-CN"/>
        </w:rPr>
        <w:t>数据的统计期限</w:t>
      </w:r>
      <w:r>
        <w:rPr>
          <w:rFonts w:hint="default" w:ascii="Times New Roman" w:hAnsi="Times New Roman" w:cs="Times New Roman"/>
          <w:lang w:val="en-US" w:eastAsia="zh-CN"/>
        </w:rPr>
        <w:t>为</w:t>
      </w: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hint="default" w:ascii="Times New Roman" w:hAnsi="Times New Roman" w:cs="Times New Roman"/>
        </w:rPr>
        <w:t>年1月1日</w:t>
      </w:r>
      <w:r>
        <w:rPr>
          <w:rFonts w:hint="eastAsia" w:ascii="Times New Roman" w:hAnsi="Times New Roman" w:cs="Times New Roman"/>
          <w:lang w:eastAsia="zh-CN"/>
        </w:rPr>
        <w:t>—</w:t>
      </w:r>
      <w:r>
        <w:rPr>
          <w:rFonts w:hint="default" w:ascii="Times New Roman" w:hAnsi="Times New Roman" w:cs="Times New Roma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hint="default" w:ascii="Times New Roman" w:hAnsi="Times New Roman" w:cs="Times New Roman"/>
        </w:rPr>
        <w:t>年12月31日。</w:t>
      </w:r>
      <w:r>
        <w:rPr>
          <w:rFonts w:hint="default" w:ascii="Times New Roman" w:hAnsi="Times New Roman" w:cs="Times New Roman"/>
          <w:lang w:val="en-US" w:eastAsia="zh-CN"/>
        </w:rPr>
        <w:t>本年度报告电子版通过</w:t>
      </w:r>
      <w:r>
        <w:rPr>
          <w:rFonts w:hint="eastAsia" w:ascii="Times New Roman" w:hAnsi="Times New Roman" w:cs="Times New Roman"/>
          <w:lang w:val="en-US" w:eastAsia="zh-CN"/>
        </w:rPr>
        <w:t>苏州市</w:t>
      </w:r>
      <w:r>
        <w:rPr>
          <w:rFonts w:hint="default" w:ascii="Times New Roman" w:hAnsi="Times New Roman" w:cs="Times New Roman"/>
          <w:lang w:val="en-US" w:eastAsia="zh-CN"/>
        </w:rPr>
        <w:t>姑苏区人民政府门户网站（www.gusu.gov.cn）全文公开。</w:t>
      </w:r>
    </w:p>
    <w:p w14:paraId="0C2950DB">
      <w:pPr>
        <w:numPr>
          <w:ilvl w:val="0"/>
          <w:numId w:val="1"/>
        </w:numPr>
        <w:ind w:left="0" w:leftChars="0" w:firstLine="640" w:firstLineChars="200"/>
        <w:jc w:val="both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总体情况</w:t>
      </w:r>
    </w:p>
    <w:p w14:paraId="60B17F0F">
      <w:pPr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eastAsia="仿宋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hint="default" w:ascii="Times New Roman" w:hAnsi="Times New Roman" w:cs="Times New Roman"/>
          <w:lang w:val="en-US" w:eastAsia="zh-CN"/>
        </w:rPr>
        <w:t>年，金阊新城（白洋湾街道）深入贯彻落实《政府信息公开条例》及中央、省、市、区关于深化政府信息公开工作的相关文件精神，始终把政府信息公开工作摆在重要位置，按照</w:t>
      </w:r>
      <w:r>
        <w:rPr>
          <w:rFonts w:hint="eastAsia" w:ascii="仿宋_GB2312" w:hAnsi="仿宋_GB2312" w:eastAsia="仿宋_GB2312" w:cs="仿宋_GB2312"/>
          <w:lang w:val="en-US" w:eastAsia="zh-CN"/>
        </w:rPr>
        <w:t>“公开为原则，不公开为例外”的总体</w:t>
      </w:r>
      <w:r>
        <w:rPr>
          <w:rFonts w:hint="default" w:ascii="Times New Roman" w:hAnsi="Times New Roman" w:cs="Times New Roman"/>
          <w:lang w:val="en-US" w:eastAsia="zh-CN"/>
        </w:rPr>
        <w:t>要求，不断强化制度机制建设、拓宽信息公开渠道、优化信息公开服务，有序推进政府信息公开制度化、常态化，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确保政府信息公开依法依规、高效准确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。</w:t>
      </w:r>
    </w:p>
    <w:p w14:paraId="5DABC4D3">
      <w:pPr>
        <w:numPr>
          <w:ilvl w:val="0"/>
          <w:numId w:val="0"/>
        </w:numPr>
        <w:ind w:firstLine="640" w:firstLineChars="200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（一）主动公开信息情况</w:t>
      </w:r>
    </w:p>
    <w:p w14:paraId="17FDEF0C">
      <w:pPr>
        <w:numPr>
          <w:ilvl w:val="0"/>
          <w:numId w:val="0"/>
        </w:numPr>
        <w:ind w:firstLine="640" w:firstLineChars="200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hint="default" w:ascii="Times New Roman" w:hAnsi="Times New Roman" w:cs="Times New Roman"/>
          <w:lang w:val="en-US" w:eastAsia="zh-CN"/>
        </w:rPr>
        <w:t>年，</w:t>
      </w:r>
      <w:r>
        <w:rPr>
          <w:rFonts w:hint="eastAsia" w:ascii="Times New Roman" w:hAnsi="Times New Roman" w:cs="Times New Roman"/>
          <w:lang w:val="en-US" w:eastAsia="zh-CN"/>
        </w:rPr>
        <w:t>新城（街道）</w:t>
      </w:r>
      <w:r>
        <w:rPr>
          <w:rFonts w:hint="default" w:ascii="Times New Roman" w:hAnsi="Times New Roman" w:cs="Times New Roman"/>
          <w:lang w:val="en-US" w:eastAsia="zh-CN"/>
        </w:rPr>
        <w:t>主动公开政务信息</w:t>
      </w:r>
      <w:r>
        <w:rPr>
          <w:rFonts w:hint="eastAsia" w:ascii="Times New Roman" w:hAnsi="Times New Roman" w:cs="Times New Roman"/>
          <w:lang w:val="en-US" w:eastAsia="zh-CN"/>
        </w:rPr>
        <w:t>39条。其中，工作动态14条，财政审计13条，政府信息公开年报1条，其他文件11条。</w:t>
      </w:r>
    </w:p>
    <w:p w14:paraId="54535A4D">
      <w:pPr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（二）依申请公开信息情况</w:t>
      </w:r>
    </w:p>
    <w:p w14:paraId="60B9EE71">
      <w:pPr>
        <w:numPr>
          <w:ilvl w:val="0"/>
          <w:numId w:val="0"/>
        </w:numPr>
        <w:ind w:firstLine="640" w:firstLineChars="200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2025年，新城（街道）收到信息公开申请</w:t>
      </w:r>
      <w:r>
        <w:rPr>
          <w:rFonts w:hint="eastAsia" w:ascii="Times New Roman" w:hAnsi="Times New Roman" w:cs="Times New Roman"/>
          <w:color w:val="auto"/>
          <w:highlight w:val="none"/>
          <w:lang w:val="en-US" w:eastAsia="zh-CN"/>
        </w:rPr>
        <w:t>6</w:t>
      </w:r>
      <w:r>
        <w:rPr>
          <w:rFonts w:hint="eastAsia" w:ascii="Times New Roman" w:hAnsi="Times New Roman" w:cs="Times New Roman"/>
          <w:lang w:val="en-US" w:eastAsia="zh-CN"/>
        </w:rPr>
        <w:t>条，</w:t>
      </w:r>
      <w:r>
        <w:rPr>
          <w:rFonts w:hint="default" w:ascii="Times New Roman" w:hAnsi="Times New Roman" w:cs="Times New Roman"/>
          <w:lang w:val="en-US" w:eastAsia="zh-CN"/>
        </w:rPr>
        <w:t>上年结转政府信息公开申请</w:t>
      </w:r>
      <w:r>
        <w:rPr>
          <w:rFonts w:hint="eastAsia" w:ascii="Times New Roman" w:hAnsi="Times New Roman" w:cs="Times New Roman"/>
          <w:lang w:val="en-US" w:eastAsia="zh-CN"/>
        </w:rPr>
        <w:t>1条。</w:t>
      </w:r>
    </w:p>
    <w:p w14:paraId="2497A430">
      <w:pPr>
        <w:numPr>
          <w:ilvl w:val="0"/>
          <w:numId w:val="0"/>
        </w:numPr>
        <w:ind w:firstLine="640" w:firstLineChars="200"/>
        <w:jc w:val="both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（三）行政复议及行政申诉</w:t>
      </w:r>
    </w:p>
    <w:p w14:paraId="424DF92B">
      <w:pPr>
        <w:numPr>
          <w:ilvl w:val="0"/>
          <w:numId w:val="0"/>
        </w:numPr>
        <w:ind w:firstLine="640" w:firstLineChars="200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2025年，新城（街道）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发生针对本部门有关政府信息公开事务的行政复议案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件。</w:t>
      </w:r>
    </w:p>
    <w:p w14:paraId="6C3A9C00">
      <w:pPr>
        <w:numPr>
          <w:ilvl w:val="0"/>
          <w:numId w:val="1"/>
        </w:numPr>
        <w:ind w:left="0" w:leftChars="0" w:firstLine="640" w:firstLineChars="200"/>
        <w:jc w:val="both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主动公开政府信息情况</w:t>
      </w:r>
    </w:p>
    <w:tbl>
      <w:tblPr>
        <w:tblStyle w:val="2"/>
        <w:tblW w:w="500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48"/>
        <w:gridCol w:w="2109"/>
        <w:gridCol w:w="1904"/>
        <w:gridCol w:w="2099"/>
      </w:tblGrid>
      <w:tr w14:paraId="0D6EF0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6ABD7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第二十条 第（一）项</w:t>
            </w:r>
          </w:p>
        </w:tc>
      </w:tr>
      <w:tr w14:paraId="73DA4F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62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77653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信息内容</w:t>
            </w:r>
          </w:p>
        </w:tc>
        <w:tc>
          <w:tcPr>
            <w:tcW w:w="116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2D05A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本年制发件数</w:t>
            </w:r>
          </w:p>
        </w:tc>
        <w:tc>
          <w:tcPr>
            <w:tcW w:w="105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9476F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本年废止件数</w:t>
            </w:r>
          </w:p>
        </w:tc>
        <w:tc>
          <w:tcPr>
            <w:tcW w:w="11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8EE8F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现行有效件数</w:t>
            </w:r>
          </w:p>
        </w:tc>
      </w:tr>
      <w:tr w14:paraId="58528E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62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DAC16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规章</w:t>
            </w:r>
          </w:p>
        </w:tc>
        <w:tc>
          <w:tcPr>
            <w:tcW w:w="116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070E1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05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DD550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1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0B64E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218A8B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62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B28FE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规范性文件</w:t>
            </w:r>
          </w:p>
        </w:tc>
        <w:tc>
          <w:tcPr>
            <w:tcW w:w="116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7395B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05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F57FC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15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FA02D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0D5B2F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FD719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第二十条 第（五）项</w:t>
            </w:r>
          </w:p>
        </w:tc>
      </w:tr>
      <w:tr w14:paraId="510B4B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62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A9297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信息内容</w:t>
            </w:r>
          </w:p>
        </w:tc>
        <w:tc>
          <w:tcPr>
            <w:tcW w:w="3372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96B5B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本年处理决定数量</w:t>
            </w:r>
          </w:p>
        </w:tc>
      </w:tr>
      <w:tr w14:paraId="094D5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62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FBF1814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行政许可</w:t>
            </w:r>
          </w:p>
        </w:tc>
        <w:tc>
          <w:tcPr>
            <w:tcW w:w="3372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F9067E7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10134</w:t>
            </w:r>
          </w:p>
        </w:tc>
      </w:tr>
      <w:tr w14:paraId="5A7D66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3EBDE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第二十条 第（六）项</w:t>
            </w:r>
          </w:p>
        </w:tc>
      </w:tr>
      <w:tr w14:paraId="75129A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62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69B2B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信息内容</w:t>
            </w:r>
          </w:p>
        </w:tc>
        <w:tc>
          <w:tcPr>
            <w:tcW w:w="3372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6FE3F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本年处理决定数量</w:t>
            </w:r>
          </w:p>
        </w:tc>
      </w:tr>
      <w:tr w14:paraId="656634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62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5D225E0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行政处罚</w:t>
            </w:r>
          </w:p>
        </w:tc>
        <w:tc>
          <w:tcPr>
            <w:tcW w:w="3372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082EBCE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272</w:t>
            </w:r>
          </w:p>
        </w:tc>
      </w:tr>
      <w:tr w14:paraId="126CF8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62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DB71815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行政强制</w:t>
            </w:r>
          </w:p>
        </w:tc>
        <w:tc>
          <w:tcPr>
            <w:tcW w:w="3372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C3FF5D1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4BD081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B73C7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第二十条 第（八）项</w:t>
            </w:r>
          </w:p>
        </w:tc>
      </w:tr>
      <w:tr w14:paraId="1B0302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62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5529E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信息内容</w:t>
            </w:r>
          </w:p>
        </w:tc>
        <w:tc>
          <w:tcPr>
            <w:tcW w:w="3372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4500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本年收费金额（单位：万元）</w:t>
            </w:r>
          </w:p>
        </w:tc>
      </w:tr>
      <w:tr w14:paraId="3F0E19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627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141BA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行政事业性收费</w:t>
            </w:r>
          </w:p>
        </w:tc>
        <w:tc>
          <w:tcPr>
            <w:tcW w:w="3372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DC25F">
            <w:pPr>
              <w:widowControl/>
              <w:kinsoku/>
              <w:autoSpaceDE/>
              <w:autoSpaceDN/>
              <w:adjustRightInd/>
              <w:snapToGrid/>
              <w:spacing w:line="2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</w:tbl>
    <w:p w14:paraId="75F2E5FE">
      <w:pPr>
        <w:numPr>
          <w:ilvl w:val="0"/>
          <w:numId w:val="1"/>
        </w:numPr>
        <w:ind w:left="0" w:leftChars="0" w:firstLine="640" w:firstLineChars="200"/>
        <w:jc w:val="both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收到和处理政府信息公开申请情况</w:t>
      </w:r>
    </w:p>
    <w:tbl>
      <w:tblPr>
        <w:tblStyle w:val="2"/>
        <w:tblW w:w="4998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"/>
        <w:gridCol w:w="985"/>
        <w:gridCol w:w="2219"/>
        <w:gridCol w:w="598"/>
        <w:gridCol w:w="763"/>
        <w:gridCol w:w="763"/>
        <w:gridCol w:w="820"/>
        <w:gridCol w:w="985"/>
        <w:gridCol w:w="726"/>
        <w:gridCol w:w="705"/>
      </w:tblGrid>
      <w:tr w14:paraId="659FBD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041" w:type="pct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6EA9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（本列数据的勾稽关系为：第一项加第二项之和，等于第三项加第四项之和）</w:t>
            </w:r>
          </w:p>
        </w:tc>
        <w:tc>
          <w:tcPr>
            <w:tcW w:w="2958" w:type="pct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2DBB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申请人情况</w:t>
            </w:r>
          </w:p>
        </w:tc>
      </w:tr>
      <w:tr w14:paraId="6B228C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041" w:type="pct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7E3274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71C91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自然人</w:t>
            </w:r>
          </w:p>
        </w:tc>
        <w:tc>
          <w:tcPr>
            <w:tcW w:w="2240" w:type="pct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0277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法人或其他组织</w:t>
            </w:r>
          </w:p>
        </w:tc>
        <w:tc>
          <w:tcPr>
            <w:tcW w:w="388" w:type="pct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0E62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总计</w:t>
            </w:r>
          </w:p>
        </w:tc>
      </w:tr>
      <w:tr w14:paraId="777356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041" w:type="pct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D707B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0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7EDC3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4D84A">
            <w:pPr>
              <w:widowControl/>
              <w:kinsoku/>
              <w:autoSpaceDE/>
              <w:autoSpaceDN/>
              <w:adjustRightInd/>
              <w:snapToGrid/>
              <w:spacing w:line="2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商业企业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1C464">
            <w:pPr>
              <w:widowControl/>
              <w:kinsoku/>
              <w:autoSpaceDE/>
              <w:autoSpaceDN/>
              <w:adjustRightInd/>
              <w:snapToGrid/>
              <w:spacing w:line="2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科研机构</w:t>
            </w:r>
          </w:p>
        </w:tc>
        <w:tc>
          <w:tcPr>
            <w:tcW w:w="45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F7E61">
            <w:pPr>
              <w:widowControl/>
              <w:kinsoku/>
              <w:autoSpaceDE/>
              <w:autoSpaceDN/>
              <w:adjustRightInd/>
              <w:snapToGrid/>
              <w:spacing w:line="2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社会公益组织</w:t>
            </w:r>
          </w:p>
        </w:tc>
        <w:tc>
          <w:tcPr>
            <w:tcW w:w="54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3FFD5">
            <w:pPr>
              <w:widowControl/>
              <w:kinsoku/>
              <w:autoSpaceDE/>
              <w:autoSpaceDN/>
              <w:adjustRightInd/>
              <w:snapToGrid/>
              <w:spacing w:line="2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法律服务机构</w:t>
            </w:r>
          </w:p>
        </w:tc>
        <w:tc>
          <w:tcPr>
            <w:tcW w:w="39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DA1CA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其他</w:t>
            </w:r>
          </w:p>
        </w:tc>
        <w:tc>
          <w:tcPr>
            <w:tcW w:w="388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48C207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A5151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041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6C645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一、本年新收政府信息公开申请数量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98102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6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1209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BEA8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5D5C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5652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B40A4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B2DB0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6</w:t>
            </w:r>
          </w:p>
        </w:tc>
      </w:tr>
      <w:tr w14:paraId="2ECF10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041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A3F1FC7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二、上年结转政府信息公开申请数量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A89EA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D94C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D08F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2943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24854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0E88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4CC2A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</w:tr>
      <w:tr w14:paraId="029F70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F60B79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三、本年度办理结果</w:t>
            </w:r>
          </w:p>
        </w:tc>
        <w:tc>
          <w:tcPr>
            <w:tcW w:w="1769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7E369A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（一）予以公开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47C9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F95B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0A1B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BC4C8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5466A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B030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8B8A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2</w:t>
            </w:r>
          </w:p>
        </w:tc>
      </w:tr>
      <w:tr w14:paraId="5DFE02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151E434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9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84ECF5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（二）部分公开（区分处理的，只计这一情形，不计其他情形）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DDBC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A342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154C7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0B4F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868F5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0F6C8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D8FE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2D4D6F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A655961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C7C2A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（三）不予公开</w:t>
            </w:r>
          </w:p>
        </w:tc>
        <w:tc>
          <w:tcPr>
            <w:tcW w:w="12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A2A27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1.属于国家秘密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65F4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BBC4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2686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3DCA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55E8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AFAF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1DCE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509EDC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AC1514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434051E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9BB11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2.其他法律行政法规禁止公开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E7428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E107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06670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2DCF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08435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EB3F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CDAEA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6A2F49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A4FAC5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4DACA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76210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3.危及“三安全一稳定”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AD75A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7D067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50B45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E7DA0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4CDF0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0A9F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98B59E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0CE2E5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EE8B6D7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860301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7BC04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4.保护第三方合法权益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7725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4643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E5F7A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1B4E4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6DF1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7D9D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A8B32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6DB2B8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5E592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4950E92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B849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5.属于三类内部事务信息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1BB50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C52CE2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EDFDA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4AD6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AFC5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DBEB7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2675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2657E7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634CB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4E7038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CE62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6.属于四类过程性信息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A529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FD6F8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1398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01D1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47014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E0D6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E9C85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218D97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CA58DE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9EA161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5C0E2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7.属于行政执法案卷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1AE7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1242A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1E508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00E5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43E5E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4CB67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B8C4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4534CA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1CD60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AD0D0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A4DC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8.属于行政查询事项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FC1FE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6ED7E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F2E7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521C8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A1397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0E30E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91DA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6D3FB1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5125D8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AD5B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（四）无法提供</w:t>
            </w:r>
          </w:p>
        </w:tc>
        <w:tc>
          <w:tcPr>
            <w:tcW w:w="12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5B6A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1.本机关不掌握相关政府信息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EE04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39238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E81F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D49D7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0FAC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BB32A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B5E8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4</w:t>
            </w:r>
          </w:p>
        </w:tc>
      </w:tr>
      <w:tr w14:paraId="39397B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AB4CF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106D4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0310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2.没有现成信息需要另行制作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7711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6AED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9B86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5034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7E4E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22A15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482B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2BCD82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A109C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4F10AFE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5C22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3.补正后申请内容仍不明确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7AE92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2F302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5F20A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214B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D4C8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3A31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6BB45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5EB58A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624F1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CA93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（五）不予处理</w:t>
            </w:r>
          </w:p>
        </w:tc>
        <w:tc>
          <w:tcPr>
            <w:tcW w:w="12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A7618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1.信访举报投诉类申请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DE5C4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AAA94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EE5E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670B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E086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DB3B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5F07E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1</w:t>
            </w:r>
          </w:p>
        </w:tc>
      </w:tr>
      <w:tr w14:paraId="26465E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D0CF68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36BBC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0A780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2.重复申请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553C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45C2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54A57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52A2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60404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C7B21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31640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1C5E99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9B0C252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27BAA0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569D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3.要求提供公开出版物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AFA5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FF3A1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5DB8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8A05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73A44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C1C18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8C7B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6B0436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FCF56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7043C4E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77DE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4.无正当理由大量反复申请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E907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A0682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30F7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F09F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CBCC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A999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E8910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472FD9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C5799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08EA8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BC92E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5.要求行政机关确认或重新出具已获取信息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9A16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1B8D1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A2E8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08612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DC431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D55D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C140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63254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77075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restart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 w14:paraId="26EC9D8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（六）其他处理</w:t>
            </w:r>
          </w:p>
        </w:tc>
        <w:tc>
          <w:tcPr>
            <w:tcW w:w="1224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7D4D5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1.申请人无正当理由逾期不补正、行政机关不再处理其政府信息公开申请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45AFE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4B37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1F51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2AE62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31C8E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30A34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2A6E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53D075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38795E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6FAF353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224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73858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2.申请人逾期未按收费通知要求缴纳费用、行政机关不再处理其政府信息公开申请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0DE81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37F50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435A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8066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E80C4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290D4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6928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1D74CE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8BAC23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vMerge w:val="continue"/>
            <w:tcBorders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945538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1224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D75965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3.其他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DC035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2496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7128A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1B68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A3EFE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A0C56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23F3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7C2723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7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9B2E99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4B97ED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（七）总计</w:t>
            </w:r>
          </w:p>
        </w:tc>
        <w:tc>
          <w:tcPr>
            <w:tcW w:w="1224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5A876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楷体" w:cs="Times New Roman"/>
                <w:snapToGrid/>
                <w:kern w:val="0"/>
                <w:sz w:val="20"/>
                <w:szCs w:val="20"/>
                <w:lang w:val="en-US" w:eastAsia="zh-CN" w:bidi="ar-SA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C730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11711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BADB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64D4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20C44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316DC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2733A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  <w:tr w14:paraId="3490C8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041" w:type="pct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77B0800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四、结转下年度继续办理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F477A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CC4FB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54308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45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9916D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7453F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8EFC0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8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3299E">
            <w:pPr>
              <w:widowControl/>
              <w:kinsoku/>
              <w:autoSpaceDE/>
              <w:autoSpaceDN/>
              <w:adjustRightInd/>
              <w:snapToGrid/>
              <w:spacing w:line="2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</w:tr>
    </w:tbl>
    <w:p w14:paraId="128470A2">
      <w:pPr>
        <w:numPr>
          <w:ilvl w:val="0"/>
          <w:numId w:val="1"/>
        </w:numPr>
        <w:ind w:left="0" w:leftChars="0" w:firstLine="640" w:firstLineChars="200"/>
        <w:jc w:val="both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政府信息公开行政复议、行政诉讼情况</w:t>
      </w:r>
    </w:p>
    <w:tbl>
      <w:tblPr>
        <w:tblStyle w:val="2"/>
        <w:tblW w:w="4999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602"/>
        <w:gridCol w:w="602"/>
        <w:gridCol w:w="602"/>
        <w:gridCol w:w="663"/>
        <w:gridCol w:w="549"/>
        <w:gridCol w:w="603"/>
        <w:gridCol w:w="603"/>
        <w:gridCol w:w="603"/>
        <w:gridCol w:w="607"/>
        <w:gridCol w:w="603"/>
        <w:gridCol w:w="603"/>
        <w:gridCol w:w="603"/>
        <w:gridCol w:w="603"/>
        <w:gridCol w:w="610"/>
      </w:tblGrid>
      <w:tr w14:paraId="1E0AD9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694" w:type="pct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A8D87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行政复议</w:t>
            </w:r>
          </w:p>
        </w:tc>
        <w:tc>
          <w:tcPr>
            <w:tcW w:w="3305" w:type="pct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FF678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行政诉讼</w:t>
            </w:r>
          </w:p>
        </w:tc>
      </w:tr>
      <w:tr w14:paraId="2C6D09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2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AF484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结果维持</w:t>
            </w:r>
          </w:p>
        </w:tc>
        <w:tc>
          <w:tcPr>
            <w:tcW w:w="332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C432E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结果纠正</w:t>
            </w:r>
          </w:p>
        </w:tc>
        <w:tc>
          <w:tcPr>
            <w:tcW w:w="332" w:type="pct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E1ADC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其他结果</w:t>
            </w:r>
          </w:p>
        </w:tc>
        <w:tc>
          <w:tcPr>
            <w:tcW w:w="332" w:type="pct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CA184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尚未审结</w:t>
            </w:r>
          </w:p>
        </w:tc>
        <w:tc>
          <w:tcPr>
            <w:tcW w:w="363" w:type="pct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C61B0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总计</w:t>
            </w:r>
          </w:p>
        </w:tc>
        <w:tc>
          <w:tcPr>
            <w:tcW w:w="1637" w:type="pct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4B6B8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未经复议直接起诉</w:t>
            </w:r>
          </w:p>
        </w:tc>
        <w:tc>
          <w:tcPr>
            <w:tcW w:w="1668" w:type="pct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1225E3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复议后起诉</w:t>
            </w:r>
          </w:p>
        </w:tc>
      </w:tr>
      <w:tr w14:paraId="1A49C3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2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E16D1C9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2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BCFE09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2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3FEB252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2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428A9EF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63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4E46E95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D2D7D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结果维持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80AD6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结果纠正</w:t>
            </w:r>
          </w:p>
        </w:tc>
        <w:tc>
          <w:tcPr>
            <w:tcW w:w="33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02B6A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其他结果</w:t>
            </w:r>
          </w:p>
        </w:tc>
        <w:tc>
          <w:tcPr>
            <w:tcW w:w="33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D276C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尚未审结</w:t>
            </w:r>
          </w:p>
        </w:tc>
        <w:tc>
          <w:tcPr>
            <w:tcW w:w="33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AC619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总计</w:t>
            </w:r>
          </w:p>
        </w:tc>
        <w:tc>
          <w:tcPr>
            <w:tcW w:w="33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59700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结果维持</w:t>
            </w:r>
          </w:p>
        </w:tc>
        <w:tc>
          <w:tcPr>
            <w:tcW w:w="33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AFB6F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结果纠正</w:t>
            </w:r>
          </w:p>
        </w:tc>
        <w:tc>
          <w:tcPr>
            <w:tcW w:w="33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FAD3E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其他结果</w:t>
            </w:r>
          </w:p>
        </w:tc>
        <w:tc>
          <w:tcPr>
            <w:tcW w:w="33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0F349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0"/>
                <w:szCs w:val="20"/>
                <w:lang w:val="en-US" w:eastAsia="zh-CN" w:bidi="ar-SA"/>
              </w:rPr>
              <w:t>尚未审结</w:t>
            </w:r>
          </w:p>
        </w:tc>
        <w:tc>
          <w:tcPr>
            <w:tcW w:w="33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9A093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000000"/>
                <w:kern w:val="0"/>
                <w:sz w:val="20"/>
                <w:szCs w:val="20"/>
                <w:lang w:val="en-US" w:eastAsia="zh-CN" w:bidi="ar-SA"/>
              </w:rPr>
              <w:t>总计</w:t>
            </w:r>
          </w:p>
        </w:tc>
      </w:tr>
      <w:tr w14:paraId="3E9FB1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3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D20E9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3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629C3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3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168FC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3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A355F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6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E9AED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0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D5B9E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464A3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49DCF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39C54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F5B5B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3958C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8CC7C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40785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7BCA7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33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63860">
            <w:pPr>
              <w:widowControl/>
              <w:kinsoku/>
              <w:autoSpaceDE/>
              <w:autoSpaceDN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kern w:val="0"/>
                <w:sz w:val="24"/>
                <w:szCs w:val="24"/>
                <w:lang w:val="en-US" w:eastAsia="zh-CN" w:bidi="ar-SA"/>
              </w:rPr>
              <w:t>3</w:t>
            </w:r>
          </w:p>
        </w:tc>
      </w:tr>
    </w:tbl>
    <w:p w14:paraId="7CFCD41D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left="0" w:leftChars="0" w:firstLine="640" w:firstLineChars="200"/>
        <w:jc w:val="both"/>
        <w:textAlignment w:val="baseline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存在的主要问题及改进情况</w:t>
      </w:r>
    </w:p>
    <w:p w14:paraId="32C3CAE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textAlignment w:val="baseline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5</w:t>
      </w:r>
      <w:r>
        <w:rPr>
          <w:rFonts w:hint="default" w:ascii="Times New Roman" w:hAnsi="Times New Roman" w:cs="Times New Roman"/>
          <w:lang w:val="en-US" w:eastAsia="zh-CN"/>
        </w:rPr>
        <w:t>年，金阊新城（白洋湾街道）在政府信息公开工作</w:t>
      </w:r>
      <w:r>
        <w:rPr>
          <w:rFonts w:hint="eastAsia" w:ascii="Times New Roman" w:hAnsi="Times New Roman" w:cs="Times New Roman"/>
          <w:lang w:val="en-US" w:eastAsia="zh-CN"/>
        </w:rPr>
        <w:t>方面仍存在一定不足</w:t>
      </w:r>
      <w:r>
        <w:rPr>
          <w:rFonts w:hint="default" w:ascii="Times New Roman" w:hAnsi="Times New Roman" w:cs="Times New Roman"/>
          <w:lang w:val="en-US" w:eastAsia="zh-CN"/>
        </w:rPr>
        <w:t>：</w:t>
      </w:r>
      <w:r>
        <w:rPr>
          <w:rFonts w:hint="eastAsia" w:ascii="Times New Roman" w:hAnsi="Times New Roman" w:cs="Times New Roman"/>
          <w:lang w:val="en-US" w:eastAsia="zh-CN"/>
        </w:rPr>
        <w:t>一</w:t>
      </w:r>
      <w:r>
        <w:rPr>
          <w:rFonts w:hint="default" w:ascii="Times New Roman" w:hAnsi="Times New Roman" w:cs="Times New Roman"/>
          <w:lang w:val="en-US" w:eastAsia="zh-CN"/>
        </w:rPr>
        <w:t>是</w:t>
      </w:r>
      <w:r>
        <w:rPr>
          <w:rFonts w:hint="eastAsia" w:ascii="Times New Roman" w:hAnsi="Times New Roman" w:cs="Times New Roman"/>
          <w:lang w:val="en-US" w:eastAsia="zh-CN"/>
        </w:rPr>
        <w:t>政府信息公开的效率有待进一步提升；</w:t>
      </w:r>
      <w:r>
        <w:rPr>
          <w:rFonts w:hint="default" w:ascii="Times New Roman" w:hAnsi="Times New Roman" w:cs="Times New Roman"/>
          <w:lang w:val="en-US" w:eastAsia="zh-CN"/>
        </w:rPr>
        <w:t>二是政府信息公开工作的规范化水平有待提高；</w:t>
      </w:r>
      <w:r>
        <w:rPr>
          <w:rFonts w:hint="eastAsia" w:ascii="Times New Roman" w:hAnsi="Times New Roman" w:cs="Times New Roman"/>
          <w:lang w:val="en-US" w:eastAsia="zh-CN"/>
        </w:rPr>
        <w:t>三</w:t>
      </w:r>
      <w:r>
        <w:rPr>
          <w:rFonts w:hint="default" w:ascii="Times New Roman" w:hAnsi="Times New Roman" w:cs="Times New Roman"/>
          <w:lang w:val="en-US" w:eastAsia="zh-CN"/>
        </w:rPr>
        <w:t>是工作人员的</w:t>
      </w:r>
      <w:r>
        <w:rPr>
          <w:rFonts w:hint="eastAsia" w:ascii="Times New Roman" w:hAnsi="Times New Roman" w:cs="Times New Roman"/>
          <w:lang w:val="en-US" w:eastAsia="zh-CN"/>
        </w:rPr>
        <w:t>业务能力</w:t>
      </w:r>
      <w:r>
        <w:rPr>
          <w:rFonts w:hint="default" w:ascii="Times New Roman" w:hAnsi="Times New Roman" w:cs="Times New Roman"/>
          <w:lang w:val="en-US" w:eastAsia="zh-CN"/>
        </w:rPr>
        <w:t>有待进一步提升，法治意识有待进一步加强</w:t>
      </w:r>
      <w:r>
        <w:rPr>
          <w:rFonts w:hint="eastAsia" w:ascii="Times New Roman" w:hAnsi="Times New Roman" w:cs="Times New Roman"/>
          <w:lang w:val="en-US" w:eastAsia="zh-CN"/>
        </w:rPr>
        <w:t>。</w:t>
      </w:r>
    </w:p>
    <w:p w14:paraId="0035C2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textAlignment w:val="baseline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针对上述问题，新城（街道）将持续深入贯彻《政府信息公开条例》精神，立足工作实际，从三方面发力</w:t>
      </w:r>
      <w:bookmarkStart w:id="0" w:name="_GoBack"/>
      <w:bookmarkEnd w:id="0"/>
      <w:r>
        <w:rPr>
          <w:rFonts w:hint="eastAsia" w:ascii="Times New Roman" w:hAnsi="Times New Roman" w:cs="Times New Roman"/>
          <w:lang w:val="en-US" w:eastAsia="zh-CN"/>
        </w:rPr>
        <w:t>提升工作质效：一是强化组织引领，统筹推进信息公开工作，组织工作人员深入研习并严格落实《政府信息公开条例》，明晰公开事项清单与操作流程，确保工作高效有序推进；二是深化制度建设，健全完善来文登记、文件归档等全流程管理机制；三是加强能力建设，强化人员培训、监督考核等推动政府信息公开工作深入开展，及时回应社会关切，切实增强政府信息公开的便捷性与实效性。</w:t>
      </w:r>
    </w:p>
    <w:p w14:paraId="436E2A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textAlignment w:val="baseline"/>
        <w:rPr>
          <w:rFonts w:hint="default" w:ascii="Arial" w:hAnsi="Arial" w:eastAsia="仿宋_GB2312" w:cs="Arial"/>
          <w:snapToGrid w:val="0"/>
          <w:color w:val="000000"/>
          <w:kern w:val="0"/>
          <w:sz w:val="32"/>
          <w:szCs w:val="21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六、其他需要报告的事项</w:t>
      </w:r>
    </w:p>
    <w:p w14:paraId="74743A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textAlignment w:val="baseline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按照《国务院办公厅关于印发〈政府信息公开信息处理费管理办法〉的通知》</w:t>
      </w:r>
      <w:r>
        <w:rPr>
          <w:rFonts w:hint="eastAsia" w:ascii="Times New Roman" w:hAnsi="Times New Roman" w:cs="Times New Roman"/>
          <w:lang w:val="en-US" w:eastAsia="zh-CN"/>
        </w:rPr>
        <w:t>相关规定，</w:t>
      </w:r>
      <w:r>
        <w:rPr>
          <w:rFonts w:hint="default" w:ascii="Times New Roman" w:hAnsi="Times New Roman" w:cs="Times New Roman"/>
          <w:lang w:val="en-US" w:eastAsia="zh-CN"/>
        </w:rPr>
        <w:t>在办理20</w:t>
      </w:r>
      <w:r>
        <w:rPr>
          <w:rFonts w:hint="eastAsia" w:ascii="Times New Roman" w:hAnsi="Times New Roman" w:cs="Times New Roman"/>
          <w:lang w:val="en-US" w:eastAsia="zh-CN"/>
        </w:rPr>
        <w:t>25</w:t>
      </w:r>
      <w:r>
        <w:rPr>
          <w:rFonts w:hint="default" w:ascii="Times New Roman" w:hAnsi="Times New Roman" w:cs="Times New Roman"/>
          <w:lang w:val="en-US" w:eastAsia="zh-CN"/>
        </w:rPr>
        <w:t>年度信息公开申请中未收取信息处理费。</w:t>
      </w:r>
    </w:p>
    <w:sectPr>
      <w:pgSz w:w="11906" w:h="16838"/>
      <w:pgMar w:top="2041" w:right="1531" w:bottom="1928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45110E4-707E-40C1-8882-3BC2BBAE837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EECF670-B848-44E7-8020-A3FB9C9067A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CF5F1E2-A7B7-490B-9F3E-8FDA3B691E67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592C01E6-75DA-4F49-ACE7-B96FCC9CA8B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AD98AFC-961B-4C9C-89EE-944E8DF8429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FD01943A-C691-4833-A759-B415366B528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416426"/>
    <w:multiLevelType w:val="singleLevel"/>
    <w:tmpl w:val="8641642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A7D87"/>
    <w:rsid w:val="22D961F9"/>
    <w:rsid w:val="3D9D4AE6"/>
    <w:rsid w:val="41FA5769"/>
    <w:rsid w:val="45C21F11"/>
    <w:rsid w:val="48002D40"/>
    <w:rsid w:val="53B356F6"/>
    <w:rsid w:val="6A8375BA"/>
    <w:rsid w:val="6F8644C3"/>
    <w:rsid w:val="72F3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560" w:lineRule="exact"/>
      <w:ind w:firstLine="88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32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700</Words>
  <Characters>751</Characters>
  <Lines>0</Lines>
  <Paragraphs>0</Paragraphs>
  <TotalTime>19</TotalTime>
  <ScaleCrop>false</ScaleCrop>
  <LinksUpToDate>false</LinksUpToDate>
  <CharactersWithSpaces>755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2025-01-10T02:31:00Z</dcterms:created>
  <dc:creator>DZB-CJD</dc:creator>
  <cp:lastModifiedBy>GoMature</cp:lastModifiedBy>
  <cp:lastPrinted>2026-01-09T09:45:00Z</cp:lastPrinted>
  <dcterms:modified xsi:type="dcterms:W3CDTF">2026-01-12T02:48:19Z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23647B07F8C3403BA027C9891962D143_12</vt:lpwstr>
  </property>
  <property fmtid="{D5CDD505-2E9C-101B-9397-08002B2CF9AE}" pid="4" name="KSOTemplateDocerSaveRecord">
    <vt:lpwstr>eyJoZGlkIjoiOTg1ZDBiNmU2YTQ0MmFjODUxYjc1NGRlMWMyN2E4ZWYiLCJ1c2VySWQiOiIxMzkwOTg3ODE5In0=</vt:lpwstr>
  </property>
</Properties>
</file>