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BB069">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虎丘街道202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年政府信息公开工作</w:t>
      </w:r>
    </w:p>
    <w:p w14:paraId="6E0727B2">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年度报告</w:t>
      </w:r>
    </w:p>
    <w:p w14:paraId="5398333D">
      <w:pPr>
        <w:spacing w:line="560" w:lineRule="exact"/>
        <w:rPr>
          <w:rFonts w:ascii="仿宋_GB2312" w:hAnsi="仿宋_GB2312" w:eastAsia="仿宋_GB2312" w:cs="仿宋_GB2312"/>
          <w:sz w:val="32"/>
          <w:szCs w:val="32"/>
        </w:rPr>
      </w:pPr>
    </w:p>
    <w:p w14:paraId="253BC115">
      <w:pPr>
        <w:spacing w:line="580" w:lineRule="exact"/>
        <w:ind w:firstLine="614"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根据《中华人民共和国政府信息公开条例》《江苏省政府信息公开暂行办法》等有关法规要求，现公布虎丘街道202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年政府信息公开工作年度报告。本报告中所列数据的统计期限自202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年1月1日起至202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年12月31日止,主要通过苏州市姑苏区人民政府网公布。</w:t>
      </w:r>
    </w:p>
    <w:p w14:paraId="6F9F4E67">
      <w:pPr>
        <w:spacing w:line="580" w:lineRule="exact"/>
        <w:ind w:firstLine="580" w:firstLineChars="189"/>
        <w:rPr>
          <w:rFonts w:ascii="黑体" w:hAnsi="黑体" w:eastAsia="黑体" w:cs="黑体"/>
          <w:sz w:val="32"/>
          <w:szCs w:val="32"/>
        </w:rPr>
      </w:pPr>
      <w:r>
        <w:rPr>
          <w:rFonts w:hint="eastAsia" w:ascii="黑体" w:hAnsi="黑体" w:eastAsia="黑体" w:cs="黑体"/>
          <w:sz w:val="32"/>
          <w:szCs w:val="32"/>
        </w:rPr>
        <w:t>一、总体情况</w:t>
      </w:r>
    </w:p>
    <w:p w14:paraId="4304EE99">
      <w:pPr>
        <w:spacing w:line="580" w:lineRule="exact"/>
        <w:ind w:firstLine="614"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年，虎丘街道坚持以习近平新时代中国特色社会主义思想为指引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在区委区政府的正确领导下</w:t>
      </w:r>
      <w:r>
        <w:rPr>
          <w:rFonts w:hint="eastAsia" w:ascii="仿宋_GB2312" w:hAnsi="仿宋_GB2312" w:eastAsia="仿宋_GB2312" w:cs="仿宋_GB2312"/>
          <w:sz w:val="32"/>
          <w:szCs w:val="32"/>
        </w:rPr>
        <w:t>，全面落实上级关于政务公开工作的各项部署要求。街道以完善工作机制、规范操作流程、丰富公开内容、拓展服务渠道为重点，着力提升政府信息公开的时效性、准确性与完整性，相关工作取得积极进展。</w:t>
      </w:r>
    </w:p>
    <w:p w14:paraId="75D638B6">
      <w:pPr>
        <w:spacing w:line="580" w:lineRule="exact"/>
        <w:ind w:firstLine="580" w:firstLineChars="189"/>
        <w:rPr>
          <w:rFonts w:ascii="仿宋_GB2312" w:hAnsi="仿宋_GB2312" w:eastAsia="仿宋_GB2312" w:cs="仿宋_GB2312"/>
          <w:sz w:val="32"/>
          <w:szCs w:val="32"/>
        </w:rPr>
      </w:pPr>
      <w:r>
        <w:rPr>
          <w:rFonts w:hint="eastAsia" w:ascii="黑体" w:hAnsi="黑体" w:eastAsia="黑体" w:cs="黑体"/>
          <w:sz w:val="32"/>
          <w:szCs w:val="32"/>
        </w:rPr>
        <w:t>二、政府信息主动公开情况</w:t>
      </w:r>
    </w:p>
    <w:p w14:paraId="26C12796">
      <w:pPr>
        <w:spacing w:line="580" w:lineRule="exact"/>
        <w:ind w:firstLine="580" w:firstLineChars="18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2025年度，虎丘街道主动公开政府信息99条（公开规范性文件0条），其中工作动态53条，重点领域信息公开26条，信息公开年度报告1条。同时充分利用新媒体“智慧虎丘”微信公众号的作用，发布信息</w:t>
      </w:r>
      <w:r>
        <w:rPr>
          <w:rFonts w:hint="eastAsia" w:ascii="仿宋_GB2312" w:hAnsi="仿宋_GB2312" w:eastAsia="仿宋_GB2312" w:cs="仿宋_GB2312"/>
          <w:sz w:val="32"/>
          <w:szCs w:val="32"/>
          <w:highlight w:val="none"/>
          <w:lang w:val="en-US" w:eastAsia="zh-CN"/>
        </w:rPr>
        <w:t>700余条</w:t>
      </w:r>
      <w:r>
        <w:rPr>
          <w:rFonts w:hint="eastAsia" w:ascii="仿宋_GB2312" w:hAnsi="仿宋_GB2312" w:eastAsia="仿宋_GB2312" w:cs="仿宋_GB2312"/>
          <w:sz w:val="32"/>
          <w:szCs w:val="32"/>
          <w:lang w:val="en-US" w:eastAsia="zh-CN"/>
        </w:rPr>
        <w:t>。信息公开的内容涉及经济发展、古城保护、民生服务、党组织为民服务项目实施、文明城市创建、非遗文化等各个方面。为做好街道信息公开工作，特别邀请专业律师针对政府信息公开工作中的实务和疑难解析进行专题授课，有效提升街道信息公开工作专业能力水平。</w:t>
      </w:r>
    </w:p>
    <w:tbl>
      <w:tblPr>
        <w:tblStyle w:val="5"/>
        <w:tblW w:w="8140" w:type="dxa"/>
        <w:jc w:val="center"/>
        <w:tblLayout w:type="autofit"/>
        <w:tblCellMar>
          <w:top w:w="0" w:type="dxa"/>
          <w:left w:w="0" w:type="dxa"/>
          <w:bottom w:w="0" w:type="dxa"/>
          <w:right w:w="0" w:type="dxa"/>
        </w:tblCellMar>
      </w:tblPr>
      <w:tblGrid>
        <w:gridCol w:w="2650"/>
        <w:gridCol w:w="1896"/>
        <w:gridCol w:w="1713"/>
        <w:gridCol w:w="1881"/>
      </w:tblGrid>
      <w:tr w14:paraId="3ECCA458">
        <w:tblPrEx>
          <w:tblCellMar>
            <w:top w:w="0" w:type="dxa"/>
            <w:left w:w="0" w:type="dxa"/>
            <w:bottom w:w="0" w:type="dxa"/>
            <w:right w:w="0" w:type="dxa"/>
          </w:tblCellMar>
        </w:tblPrEx>
        <w:trPr>
          <w:trHeight w:val="397" w:hRule="exac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4E76A532">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第二十条第（一）项</w:t>
            </w:r>
          </w:p>
        </w:tc>
      </w:tr>
      <w:tr w14:paraId="55372554">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F7927D">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信息内容</w:t>
            </w:r>
          </w:p>
        </w:tc>
        <w:tc>
          <w:tcPr>
            <w:tcW w:w="1896"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4A7A83D6">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本年制发件数</w:t>
            </w:r>
          </w:p>
        </w:tc>
        <w:tc>
          <w:tcPr>
            <w:tcW w:w="1713"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39E02EE6">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本年废止件数</w:t>
            </w:r>
          </w:p>
        </w:tc>
        <w:tc>
          <w:tcPr>
            <w:tcW w:w="18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F88481">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现行有效件数</w:t>
            </w:r>
          </w:p>
        </w:tc>
      </w:tr>
      <w:tr w14:paraId="3B22E251">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B05E73">
            <w:pPr>
              <w:widowControl/>
              <w:spacing w:line="240" w:lineRule="exact"/>
              <w:jc w:val="left"/>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规章</w:t>
            </w:r>
          </w:p>
        </w:tc>
        <w:tc>
          <w:tcPr>
            <w:tcW w:w="189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CF162DA">
            <w:pPr>
              <w:widowControl/>
              <w:spacing w:line="240" w:lineRule="exact"/>
              <w:jc w:val="center"/>
              <w:rPr>
                <w:rFonts w:hint="eastAsia" w:ascii="宋体" w:hAnsi="宋体" w:eastAsia="宋体" w:cs="宋体"/>
                <w:kern w:val="0"/>
                <w:sz w:val="24"/>
                <w:highlight w:val="none"/>
                <w:lang w:eastAsia="zh-CN"/>
              </w:rPr>
            </w:pPr>
            <w:r>
              <w:rPr>
                <w:rFonts w:hint="eastAsia" w:ascii="宋体" w:hAnsi="宋体" w:eastAsia="宋体" w:cs="宋体"/>
                <w:kern w:val="0"/>
                <w:sz w:val="24"/>
                <w:highlight w:val="none"/>
              </w:rPr>
              <w:t>0</w:t>
            </w:r>
          </w:p>
        </w:tc>
        <w:tc>
          <w:tcPr>
            <w:tcW w:w="1713"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F9C98E">
            <w:pPr>
              <w:widowControl/>
              <w:spacing w:line="240" w:lineRule="exact"/>
              <w:jc w:val="center"/>
              <w:rPr>
                <w:rFonts w:ascii="宋体" w:hAnsi="宋体" w:eastAsia="宋体" w:cs="宋体"/>
                <w:kern w:val="0"/>
                <w:sz w:val="24"/>
                <w:highlight w:val="none"/>
              </w:rPr>
            </w:pPr>
            <w:r>
              <w:rPr>
                <w:rFonts w:hint="eastAsia" w:ascii="宋体" w:hAnsi="宋体" w:eastAsia="宋体" w:cs="宋体"/>
                <w:kern w:val="0"/>
                <w:sz w:val="24"/>
                <w:highlight w:val="none"/>
              </w:rPr>
              <w:t>0</w:t>
            </w:r>
          </w:p>
        </w:tc>
        <w:tc>
          <w:tcPr>
            <w:tcW w:w="18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A4D4C5">
            <w:pPr>
              <w:widowControl/>
              <w:spacing w:line="240" w:lineRule="exact"/>
              <w:jc w:val="center"/>
              <w:rPr>
                <w:rFonts w:ascii="宋体" w:hAnsi="宋体" w:eastAsia="宋体" w:cs="宋体"/>
                <w:kern w:val="0"/>
                <w:sz w:val="24"/>
                <w:highlight w:val="none"/>
              </w:rPr>
            </w:pPr>
            <w:r>
              <w:rPr>
                <w:rFonts w:hint="eastAsia" w:ascii="宋体" w:hAnsi="宋体" w:eastAsia="宋体" w:cs="宋体"/>
                <w:kern w:val="0"/>
                <w:sz w:val="24"/>
                <w:highlight w:val="none"/>
              </w:rPr>
              <w:t>0</w:t>
            </w:r>
          </w:p>
        </w:tc>
      </w:tr>
      <w:tr w14:paraId="5F6CA20C">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C84B27">
            <w:pPr>
              <w:widowControl/>
              <w:spacing w:line="240" w:lineRule="exact"/>
              <w:jc w:val="left"/>
              <w:rPr>
                <w:rFonts w:ascii="宋体" w:hAnsi="宋体" w:eastAsia="宋体" w:cs="宋体"/>
                <w:kern w:val="0"/>
                <w:sz w:val="24"/>
              </w:rPr>
            </w:pPr>
            <w:r>
              <w:rPr>
                <w:rFonts w:hint="eastAsia" w:ascii="宋体" w:hAnsi="宋体" w:eastAsia="宋体" w:cs="宋体"/>
                <w:color w:val="000000"/>
                <w:kern w:val="0"/>
                <w:sz w:val="20"/>
                <w:szCs w:val="20"/>
              </w:rPr>
              <w:t>规范性文件</w:t>
            </w:r>
          </w:p>
        </w:tc>
        <w:tc>
          <w:tcPr>
            <w:tcW w:w="189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2B919BB">
            <w:pPr>
              <w:widowControl/>
              <w:spacing w:line="240" w:lineRule="exact"/>
              <w:jc w:val="center"/>
              <w:rPr>
                <w:rFonts w:ascii="宋体" w:hAnsi="宋体" w:eastAsia="宋体" w:cs="宋体"/>
                <w:kern w:val="0"/>
                <w:sz w:val="24"/>
              </w:rPr>
            </w:pPr>
            <w:r>
              <w:rPr>
                <w:rFonts w:hint="eastAsia" w:ascii="宋体" w:hAnsi="宋体" w:eastAsia="宋体" w:cs="宋体"/>
                <w:kern w:val="0"/>
                <w:sz w:val="24"/>
              </w:rPr>
              <w:t>0</w:t>
            </w:r>
          </w:p>
        </w:tc>
        <w:tc>
          <w:tcPr>
            <w:tcW w:w="1713"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C032845">
            <w:pPr>
              <w:widowControl/>
              <w:spacing w:line="240" w:lineRule="exact"/>
              <w:jc w:val="center"/>
              <w:rPr>
                <w:rFonts w:ascii="宋体" w:hAnsi="宋体" w:eastAsia="宋体" w:cs="宋体"/>
                <w:kern w:val="0"/>
                <w:sz w:val="24"/>
              </w:rPr>
            </w:pPr>
            <w:r>
              <w:rPr>
                <w:rFonts w:hint="eastAsia" w:ascii="宋体" w:hAnsi="宋体" w:eastAsia="宋体" w:cs="宋体"/>
                <w:kern w:val="0"/>
                <w:sz w:val="24"/>
              </w:rPr>
              <w:t>0</w:t>
            </w:r>
          </w:p>
        </w:tc>
        <w:tc>
          <w:tcPr>
            <w:tcW w:w="18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B34D9DC">
            <w:pPr>
              <w:widowControl/>
              <w:spacing w:line="240" w:lineRule="exact"/>
              <w:jc w:val="center"/>
              <w:rPr>
                <w:rFonts w:ascii="宋体" w:hAnsi="宋体" w:eastAsia="宋体" w:cs="宋体"/>
                <w:kern w:val="0"/>
                <w:sz w:val="24"/>
              </w:rPr>
            </w:pPr>
            <w:r>
              <w:rPr>
                <w:rFonts w:hint="eastAsia" w:ascii="宋体" w:hAnsi="宋体" w:eastAsia="宋体" w:cs="宋体"/>
                <w:kern w:val="0"/>
                <w:sz w:val="24"/>
              </w:rPr>
              <w:t>0</w:t>
            </w:r>
          </w:p>
        </w:tc>
      </w:tr>
      <w:tr w14:paraId="2DF03449">
        <w:tblPrEx>
          <w:tblCellMar>
            <w:top w:w="0" w:type="dxa"/>
            <w:left w:w="0" w:type="dxa"/>
            <w:bottom w:w="0" w:type="dxa"/>
            <w:right w:w="0" w:type="dxa"/>
          </w:tblCellMar>
        </w:tblPrEx>
        <w:trPr>
          <w:trHeight w:val="397" w:hRule="exac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31076E8F">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第二十条第（五）项</w:t>
            </w:r>
          </w:p>
        </w:tc>
      </w:tr>
      <w:tr w14:paraId="4E5D9F59">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6884652">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信息内容</w:t>
            </w:r>
          </w:p>
        </w:tc>
        <w:tc>
          <w:tcPr>
            <w:tcW w:w="5490" w:type="dxa"/>
            <w:gridSpan w:val="3"/>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6D61D613">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本年处理决定数量</w:t>
            </w:r>
          </w:p>
        </w:tc>
      </w:tr>
      <w:tr w14:paraId="53EC72FD">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vAlign w:val="center"/>
          </w:tcPr>
          <w:p w14:paraId="573B3DD4">
            <w:pPr>
              <w:widowControl/>
              <w:spacing w:line="240" w:lineRule="exact"/>
              <w:jc w:val="left"/>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行政许可</w:t>
            </w:r>
          </w:p>
        </w:tc>
        <w:tc>
          <w:tcPr>
            <w:tcW w:w="5490" w:type="dxa"/>
            <w:gridSpan w:val="3"/>
            <w:tcBorders>
              <w:top w:val="nil"/>
              <w:left w:val="nil"/>
              <w:bottom w:val="single" w:color="auto" w:sz="8" w:space="0"/>
              <w:right w:val="single" w:color="auto" w:sz="8" w:space="0"/>
            </w:tcBorders>
            <w:noWrap/>
            <w:vAlign w:val="center"/>
          </w:tcPr>
          <w:p w14:paraId="3214E0BD">
            <w:pPr>
              <w:widowControl/>
              <w:spacing w:line="240" w:lineRule="exact"/>
              <w:jc w:val="center"/>
              <w:rPr>
                <w:rFonts w:hint="eastAsia" w:ascii="宋体" w:hAnsi="宋体" w:eastAsia="宋体" w:cs="宋体"/>
                <w:kern w:val="0"/>
                <w:sz w:val="24"/>
                <w:highlight w:val="none"/>
                <w:lang w:eastAsia="zh-CN"/>
              </w:rPr>
            </w:pPr>
            <w:r>
              <w:rPr>
                <w:rFonts w:hint="eastAsia" w:ascii="宋体" w:hAnsi="宋体" w:eastAsia="宋体" w:cs="宋体"/>
                <w:kern w:val="0"/>
                <w:sz w:val="24"/>
                <w:highlight w:val="none"/>
              </w:rPr>
              <w:t>0</w:t>
            </w:r>
          </w:p>
        </w:tc>
      </w:tr>
      <w:tr w14:paraId="55731A69">
        <w:tblPrEx>
          <w:tblCellMar>
            <w:top w:w="0" w:type="dxa"/>
            <w:left w:w="0" w:type="dxa"/>
            <w:bottom w:w="0" w:type="dxa"/>
            <w:right w:w="0" w:type="dxa"/>
          </w:tblCellMar>
        </w:tblPrEx>
        <w:trPr>
          <w:trHeight w:val="397" w:hRule="exac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679BCF3C">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第二十条第（六）项</w:t>
            </w:r>
          </w:p>
        </w:tc>
      </w:tr>
      <w:tr w14:paraId="5F7A4074">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FFE8A9">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信息内容</w:t>
            </w:r>
          </w:p>
        </w:tc>
        <w:tc>
          <w:tcPr>
            <w:tcW w:w="5490" w:type="dxa"/>
            <w:gridSpan w:val="3"/>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5EED8129">
            <w:pPr>
              <w:widowControl/>
              <w:spacing w:line="240" w:lineRule="exact"/>
              <w:jc w:val="center"/>
              <w:rPr>
                <w:rFonts w:ascii="宋体" w:hAnsi="宋体" w:eastAsia="宋体" w:cs="宋体"/>
                <w:kern w:val="0"/>
                <w:sz w:val="24"/>
              </w:rPr>
            </w:pPr>
            <w:r>
              <w:rPr>
                <w:rFonts w:hint="eastAsia" w:ascii="宋体" w:hAnsi="宋体" w:eastAsia="宋体" w:cs="宋体"/>
                <w:color w:val="000000"/>
                <w:kern w:val="0"/>
                <w:sz w:val="20"/>
                <w:szCs w:val="20"/>
              </w:rPr>
              <w:t>本年处理决定数量</w:t>
            </w:r>
          </w:p>
        </w:tc>
      </w:tr>
      <w:tr w14:paraId="1F8BE09B">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vAlign w:val="center"/>
          </w:tcPr>
          <w:p w14:paraId="3CB67870">
            <w:pPr>
              <w:widowControl/>
              <w:spacing w:line="240" w:lineRule="exact"/>
              <w:jc w:val="left"/>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行政处罚</w:t>
            </w:r>
          </w:p>
        </w:tc>
        <w:tc>
          <w:tcPr>
            <w:tcW w:w="5490" w:type="dxa"/>
            <w:gridSpan w:val="3"/>
            <w:tcBorders>
              <w:top w:val="nil"/>
              <w:left w:val="nil"/>
              <w:bottom w:val="single" w:color="auto" w:sz="8" w:space="0"/>
              <w:right w:val="single" w:color="auto" w:sz="8" w:space="0"/>
            </w:tcBorders>
            <w:noWrap/>
            <w:vAlign w:val="center"/>
          </w:tcPr>
          <w:p w14:paraId="05F2E78C">
            <w:pPr>
              <w:widowControl/>
              <w:spacing w:line="240" w:lineRule="exact"/>
              <w:jc w:val="center"/>
              <w:rPr>
                <w:rFonts w:ascii="宋体" w:hAnsi="宋体" w:eastAsia="宋体" w:cs="宋体"/>
                <w:kern w:val="0"/>
                <w:sz w:val="24"/>
                <w:highlight w:val="none"/>
              </w:rPr>
            </w:pPr>
            <w:r>
              <w:rPr>
                <w:rFonts w:hint="eastAsia" w:ascii="宋体" w:hAnsi="宋体" w:eastAsia="宋体" w:cs="宋体"/>
                <w:kern w:val="0"/>
                <w:sz w:val="24"/>
                <w:highlight w:val="none"/>
              </w:rPr>
              <w:t>0</w:t>
            </w:r>
          </w:p>
        </w:tc>
      </w:tr>
      <w:tr w14:paraId="67C5BD10">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vAlign w:val="center"/>
          </w:tcPr>
          <w:p w14:paraId="1374D66B">
            <w:pPr>
              <w:widowControl/>
              <w:spacing w:line="240" w:lineRule="exact"/>
              <w:jc w:val="left"/>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行政强制</w:t>
            </w:r>
          </w:p>
        </w:tc>
        <w:tc>
          <w:tcPr>
            <w:tcW w:w="5490" w:type="dxa"/>
            <w:gridSpan w:val="3"/>
            <w:tcBorders>
              <w:top w:val="nil"/>
              <w:left w:val="nil"/>
              <w:bottom w:val="single" w:color="auto" w:sz="8" w:space="0"/>
              <w:right w:val="single" w:color="auto" w:sz="8" w:space="0"/>
            </w:tcBorders>
            <w:noWrap/>
            <w:vAlign w:val="center"/>
          </w:tcPr>
          <w:p w14:paraId="29B60ADC">
            <w:pPr>
              <w:widowControl/>
              <w:spacing w:line="240" w:lineRule="exact"/>
              <w:jc w:val="center"/>
              <w:rPr>
                <w:rFonts w:ascii="宋体" w:hAnsi="宋体" w:eastAsia="宋体" w:cs="宋体"/>
                <w:kern w:val="0"/>
                <w:sz w:val="24"/>
                <w:highlight w:val="none"/>
              </w:rPr>
            </w:pPr>
            <w:r>
              <w:rPr>
                <w:rFonts w:hint="eastAsia" w:ascii="宋体" w:hAnsi="宋体" w:eastAsia="宋体" w:cs="宋体"/>
                <w:kern w:val="0"/>
                <w:sz w:val="24"/>
                <w:highlight w:val="none"/>
              </w:rPr>
              <w:t>0</w:t>
            </w:r>
          </w:p>
        </w:tc>
      </w:tr>
      <w:tr w14:paraId="0EE74376">
        <w:tblPrEx>
          <w:tblCellMar>
            <w:top w:w="0" w:type="dxa"/>
            <w:left w:w="0" w:type="dxa"/>
            <w:bottom w:w="0" w:type="dxa"/>
            <w:right w:w="0" w:type="dxa"/>
          </w:tblCellMar>
        </w:tblPrEx>
        <w:trPr>
          <w:trHeight w:val="397" w:hRule="exac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37601C8F">
            <w:pPr>
              <w:widowControl/>
              <w:spacing w:line="240" w:lineRule="exact"/>
              <w:jc w:val="center"/>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第二十条第（八）项</w:t>
            </w:r>
          </w:p>
        </w:tc>
      </w:tr>
      <w:tr w14:paraId="737B489D">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A995CA">
            <w:pPr>
              <w:widowControl/>
              <w:spacing w:line="240" w:lineRule="exact"/>
              <w:jc w:val="center"/>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信息内容</w:t>
            </w:r>
          </w:p>
        </w:tc>
        <w:tc>
          <w:tcPr>
            <w:tcW w:w="5490" w:type="dxa"/>
            <w:gridSpan w:val="3"/>
            <w:tcBorders>
              <w:top w:val="nil"/>
              <w:left w:val="nil"/>
              <w:bottom w:val="single" w:color="auto" w:sz="8" w:space="0"/>
              <w:right w:val="single" w:color="000000" w:sz="8" w:space="0"/>
            </w:tcBorders>
            <w:noWrap/>
            <w:tcMar>
              <w:top w:w="0" w:type="dxa"/>
              <w:left w:w="108" w:type="dxa"/>
              <w:bottom w:w="0" w:type="dxa"/>
              <w:right w:w="108" w:type="dxa"/>
            </w:tcMar>
            <w:vAlign w:val="center"/>
          </w:tcPr>
          <w:p w14:paraId="71E600C6">
            <w:pPr>
              <w:widowControl/>
              <w:spacing w:line="240" w:lineRule="exact"/>
              <w:jc w:val="center"/>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本年收费金额（单位：万元）</w:t>
            </w:r>
          </w:p>
        </w:tc>
      </w:tr>
      <w:tr w14:paraId="2A97CFDE">
        <w:tblPrEx>
          <w:tblCellMar>
            <w:top w:w="0" w:type="dxa"/>
            <w:left w:w="0" w:type="dxa"/>
            <w:bottom w:w="0" w:type="dxa"/>
            <w:right w:w="0" w:type="dxa"/>
          </w:tblCellMar>
        </w:tblPrEx>
        <w:trPr>
          <w:trHeight w:val="39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48DEFF">
            <w:pPr>
              <w:widowControl/>
              <w:spacing w:line="240" w:lineRule="exact"/>
              <w:jc w:val="left"/>
              <w:rPr>
                <w:rFonts w:ascii="宋体" w:hAnsi="宋体" w:eastAsia="宋体" w:cs="宋体"/>
                <w:kern w:val="0"/>
                <w:sz w:val="24"/>
                <w:highlight w:val="none"/>
              </w:rPr>
            </w:pPr>
            <w:r>
              <w:rPr>
                <w:rFonts w:hint="eastAsia" w:ascii="宋体" w:hAnsi="宋体" w:eastAsia="宋体" w:cs="宋体"/>
                <w:color w:val="000000"/>
                <w:kern w:val="0"/>
                <w:sz w:val="20"/>
                <w:szCs w:val="20"/>
                <w:highlight w:val="none"/>
              </w:rPr>
              <w:t>行政事业性收费</w:t>
            </w:r>
          </w:p>
        </w:tc>
        <w:tc>
          <w:tcPr>
            <w:tcW w:w="5490" w:type="dxa"/>
            <w:gridSpan w:val="3"/>
            <w:tcBorders>
              <w:top w:val="nil"/>
              <w:left w:val="nil"/>
              <w:bottom w:val="single" w:color="auto" w:sz="8" w:space="0"/>
              <w:right w:val="single" w:color="000000" w:sz="8" w:space="0"/>
            </w:tcBorders>
            <w:noWrap/>
            <w:tcMar>
              <w:top w:w="0" w:type="dxa"/>
              <w:left w:w="108" w:type="dxa"/>
              <w:bottom w:w="0" w:type="dxa"/>
              <w:right w:w="108" w:type="dxa"/>
            </w:tcMar>
            <w:vAlign w:val="center"/>
          </w:tcPr>
          <w:p w14:paraId="0DF13562">
            <w:pPr>
              <w:widowControl/>
              <w:spacing w:line="240" w:lineRule="exact"/>
              <w:jc w:val="center"/>
              <w:rPr>
                <w:rFonts w:ascii="宋体" w:hAnsi="宋体" w:eastAsia="宋体" w:cs="宋体"/>
                <w:kern w:val="0"/>
                <w:sz w:val="24"/>
                <w:highlight w:val="none"/>
              </w:rPr>
            </w:pPr>
            <w:r>
              <w:rPr>
                <w:rFonts w:hint="eastAsia" w:ascii="宋体" w:hAnsi="宋体" w:eastAsia="宋体" w:cs="宋体"/>
                <w:kern w:val="0"/>
                <w:sz w:val="24"/>
                <w:highlight w:val="none"/>
              </w:rPr>
              <w:t>0</w:t>
            </w:r>
          </w:p>
        </w:tc>
      </w:tr>
    </w:tbl>
    <w:p w14:paraId="47D06E2F">
      <w:pPr>
        <w:spacing w:line="580" w:lineRule="exact"/>
        <w:ind w:firstLine="580" w:firstLineChars="189"/>
        <w:rPr>
          <w:rFonts w:ascii="黑体" w:hAnsi="黑体" w:eastAsia="黑体" w:cs="黑体"/>
          <w:sz w:val="32"/>
          <w:szCs w:val="32"/>
        </w:rPr>
      </w:pPr>
      <w:r>
        <w:rPr>
          <w:rFonts w:hint="eastAsia" w:ascii="黑体" w:hAnsi="黑体" w:eastAsia="黑体" w:cs="黑体"/>
          <w:sz w:val="32"/>
          <w:szCs w:val="32"/>
        </w:rPr>
        <w:t>三、收到和处理政府信息公开申请情况</w:t>
      </w:r>
    </w:p>
    <w:p w14:paraId="797F89F6">
      <w:pPr>
        <w:spacing w:line="580" w:lineRule="exact"/>
        <w:ind w:firstLine="580" w:firstLineChars="18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今年，收到新的政府公开申请</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rPr>
        <w:t>件。办结完成</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rPr>
        <w:t>件。</w:t>
      </w:r>
    </w:p>
    <w:tbl>
      <w:tblPr>
        <w:tblStyle w:val="5"/>
        <w:tblW w:w="9748" w:type="dxa"/>
        <w:jc w:val="center"/>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14:paraId="3EF2442C">
        <w:tblPrEx>
          <w:tblCellMar>
            <w:top w:w="0" w:type="dxa"/>
            <w:left w:w="0" w:type="dxa"/>
            <w:bottom w:w="0" w:type="dxa"/>
            <w:right w:w="0" w:type="dxa"/>
          </w:tblCellMar>
        </w:tblPrEx>
        <w:trPr>
          <w:jc w:val="center"/>
        </w:trPr>
        <w:tc>
          <w:tcPr>
            <w:tcW w:w="4931" w:type="dxa"/>
            <w:gridSpan w:val="3"/>
            <w:vMerge w:val="restart"/>
            <w:tcBorders>
              <w:top w:val="single" w:color="auto" w:sz="8" w:space="0"/>
              <w:left w:val="single" w:color="auto" w:sz="8" w:space="0"/>
              <w:bottom w:val="inset" w:color="auto" w:sz="8" w:space="0"/>
              <w:right w:val="single" w:color="auto" w:sz="8" w:space="0"/>
            </w:tcBorders>
            <w:tcMar>
              <w:top w:w="0" w:type="dxa"/>
              <w:left w:w="108" w:type="dxa"/>
              <w:bottom w:w="0" w:type="dxa"/>
              <w:right w:w="108" w:type="dxa"/>
            </w:tcMar>
            <w:vAlign w:val="center"/>
          </w:tcPr>
          <w:p w14:paraId="3E498CF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楷体" w:hAnsi="楷体" w:eastAsia="楷体" w:cs="宋体"/>
                <w:kern w:val="0"/>
                <w:sz w:val="20"/>
                <w:szCs w:val="20"/>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03CED73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申请人情况</w:t>
            </w:r>
          </w:p>
        </w:tc>
      </w:tr>
      <w:tr w14:paraId="1BCC9EBA">
        <w:tblPrEx>
          <w:tblCellMar>
            <w:top w:w="0" w:type="dxa"/>
            <w:left w:w="0" w:type="dxa"/>
            <w:bottom w:w="0" w:type="dxa"/>
            <w:right w:w="0" w:type="dxa"/>
          </w:tblCellMar>
        </w:tblPrEx>
        <w:trPr>
          <w:trHeight w:val="432" w:hRule="atLeast"/>
          <w:jc w:val="center"/>
        </w:trPr>
        <w:tc>
          <w:tcPr>
            <w:tcW w:w="0" w:type="auto"/>
            <w:gridSpan w:val="3"/>
            <w:vMerge w:val="continue"/>
            <w:tcBorders>
              <w:top w:val="single" w:color="auto" w:sz="8" w:space="0"/>
              <w:left w:val="single" w:color="auto" w:sz="8" w:space="0"/>
              <w:bottom w:val="inset" w:color="auto" w:sz="8" w:space="0"/>
              <w:right w:val="single" w:color="auto" w:sz="8" w:space="0"/>
            </w:tcBorders>
            <w:vAlign w:val="center"/>
          </w:tcPr>
          <w:p w14:paraId="0CD1FF1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688" w:type="dxa"/>
            <w:vMerge w:val="restart"/>
            <w:tcBorders>
              <w:top w:val="nil"/>
              <w:left w:val="nil"/>
              <w:bottom w:val="single" w:color="auto" w:sz="8" w:space="0"/>
              <w:right w:val="single" w:color="auto" w:sz="8" w:space="0"/>
            </w:tcBorders>
            <w:tcMar>
              <w:top w:w="0" w:type="dxa"/>
              <w:left w:w="57" w:type="dxa"/>
              <w:bottom w:w="0" w:type="dxa"/>
              <w:right w:w="57" w:type="dxa"/>
            </w:tcMar>
            <w:vAlign w:val="center"/>
          </w:tcPr>
          <w:p w14:paraId="617D474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自然人</w:t>
            </w:r>
          </w:p>
        </w:tc>
        <w:tc>
          <w:tcPr>
            <w:tcW w:w="3440" w:type="dxa"/>
            <w:gridSpan w:val="5"/>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426F74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法人或其他组织</w:t>
            </w:r>
          </w:p>
        </w:tc>
        <w:tc>
          <w:tcPr>
            <w:tcW w:w="689" w:type="dxa"/>
            <w:vMerge w:val="restart"/>
            <w:tcBorders>
              <w:top w:val="single" w:color="auto" w:sz="8" w:space="0"/>
              <w:left w:val="nil"/>
              <w:bottom w:val="inset" w:color="auto" w:sz="8" w:space="0"/>
              <w:right w:val="single" w:color="auto" w:sz="8" w:space="0"/>
            </w:tcBorders>
            <w:tcMar>
              <w:top w:w="0" w:type="dxa"/>
              <w:left w:w="57" w:type="dxa"/>
              <w:bottom w:w="0" w:type="dxa"/>
              <w:right w:w="57" w:type="dxa"/>
            </w:tcMar>
            <w:vAlign w:val="center"/>
          </w:tcPr>
          <w:p w14:paraId="6BDC2C7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总计</w:t>
            </w:r>
          </w:p>
        </w:tc>
      </w:tr>
      <w:tr w14:paraId="5815D1C1">
        <w:tblPrEx>
          <w:tblCellMar>
            <w:top w:w="0" w:type="dxa"/>
            <w:left w:w="0" w:type="dxa"/>
            <w:bottom w:w="0" w:type="dxa"/>
            <w:right w:w="0" w:type="dxa"/>
          </w:tblCellMar>
        </w:tblPrEx>
        <w:trPr>
          <w:jc w:val="center"/>
        </w:trPr>
        <w:tc>
          <w:tcPr>
            <w:tcW w:w="0" w:type="auto"/>
            <w:gridSpan w:val="3"/>
            <w:vMerge w:val="continue"/>
            <w:tcBorders>
              <w:top w:val="single" w:color="auto" w:sz="8" w:space="0"/>
              <w:left w:val="single" w:color="auto" w:sz="8" w:space="0"/>
              <w:bottom w:val="inset" w:color="auto" w:sz="8" w:space="0"/>
              <w:right w:val="single" w:color="auto" w:sz="8" w:space="0"/>
            </w:tcBorders>
            <w:vAlign w:val="center"/>
          </w:tcPr>
          <w:p w14:paraId="582A17C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single" w:color="auto" w:sz="8" w:space="0"/>
              <w:right w:val="single" w:color="auto" w:sz="8" w:space="0"/>
            </w:tcBorders>
            <w:vAlign w:val="center"/>
          </w:tcPr>
          <w:p w14:paraId="2600D13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F43CE8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商业</w:t>
            </w:r>
          </w:p>
          <w:p w14:paraId="2C6C8D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企业</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F47176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科研</w:t>
            </w:r>
          </w:p>
          <w:p w14:paraId="2A9733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机构</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7379FD4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社会公益组织</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58FB927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法律服务机构</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6B07CE5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其他</w:t>
            </w:r>
          </w:p>
        </w:tc>
        <w:tc>
          <w:tcPr>
            <w:tcW w:w="0" w:type="auto"/>
            <w:vMerge w:val="continue"/>
            <w:tcBorders>
              <w:top w:val="single" w:color="auto" w:sz="8" w:space="0"/>
              <w:left w:val="nil"/>
              <w:bottom w:val="inset" w:color="auto" w:sz="8" w:space="0"/>
              <w:right w:val="single" w:color="auto" w:sz="8" w:space="0"/>
            </w:tcBorders>
            <w:vAlign w:val="center"/>
          </w:tcPr>
          <w:p w14:paraId="6EEB62D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r>
      <w:tr w14:paraId="328E5250">
        <w:tblPrEx>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0930B63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一、本年新收政府信息公开申请数量</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445A2F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11</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9EC82B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853BD3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978894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AD0F8F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E919D5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70D01B6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11</w:t>
            </w:r>
          </w:p>
        </w:tc>
      </w:tr>
      <w:tr w14:paraId="071ABEC7">
        <w:tblPrEx>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1227F88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二、上年结转政府信息公开申请数量</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BEB01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E3D49D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9ADF8A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E332FD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6E819B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C22A73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4A1175C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238D6147">
        <w:tblPrEx>
          <w:tblCellMar>
            <w:top w:w="0" w:type="dxa"/>
            <w:left w:w="0" w:type="dxa"/>
            <w:bottom w:w="0" w:type="dxa"/>
            <w:right w:w="0" w:type="dxa"/>
          </w:tblCellMar>
        </w:tblPrEx>
        <w:trPr>
          <w:jc w:val="center"/>
        </w:trPr>
        <w:tc>
          <w:tcPr>
            <w:tcW w:w="768" w:type="dxa"/>
            <w:vMerge w:val="restart"/>
            <w:tcBorders>
              <w:top w:val="nil"/>
              <w:left w:val="single" w:color="auto" w:sz="8" w:space="0"/>
              <w:bottom w:val="inset" w:color="auto" w:sz="8" w:space="0"/>
              <w:right w:val="single" w:color="auto" w:sz="8" w:space="0"/>
            </w:tcBorders>
            <w:tcMar>
              <w:top w:w="0" w:type="dxa"/>
              <w:left w:w="57" w:type="dxa"/>
              <w:bottom w:w="0" w:type="dxa"/>
              <w:right w:w="57" w:type="dxa"/>
            </w:tcMar>
            <w:vAlign w:val="center"/>
          </w:tcPr>
          <w:p w14:paraId="1CBE5A6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三、本年度办理结果</w:t>
            </w: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3357A96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（一）予以公开</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3051C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A4C50E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58E57C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00239D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47352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C547AF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tcPr>
          <w:p w14:paraId="294726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1</w:t>
            </w:r>
          </w:p>
        </w:tc>
      </w:tr>
      <w:tr w14:paraId="2363B416">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3242176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7AF26E6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（二）部分公开</w:t>
            </w:r>
            <w:r>
              <w:rPr>
                <w:rFonts w:hint="eastAsia" w:ascii="楷体" w:hAnsi="楷体" w:eastAsia="楷体" w:cs="宋体"/>
                <w:kern w:val="0"/>
                <w:sz w:val="20"/>
                <w:szCs w:val="20"/>
              </w:rPr>
              <w:t>（区分处理的，只计这一情形，不计其他情形）</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01C578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3C967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82801F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CAB6A1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3E1C70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B01D54D">
            <w:pPr>
              <w:keepNext w:val="0"/>
              <w:keepLines w:val="0"/>
              <w:pageBreakBefore w:val="0"/>
              <w:widowControl/>
              <w:kinsoku/>
              <w:wordWrap/>
              <w:overflowPunct/>
              <w:topLinePunct w:val="0"/>
              <w:autoSpaceDE/>
              <w:autoSpaceDN/>
              <w:bidi w:val="0"/>
              <w:adjustRightInd/>
              <w:snapToGrid/>
              <w:spacing w:line="320" w:lineRule="exact"/>
              <w:jc w:val="distribute"/>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6A9497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w:t>
            </w:r>
          </w:p>
        </w:tc>
      </w:tr>
      <w:tr w14:paraId="7AB435C6">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694A122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14:paraId="691BF19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（三）不予公开</w:t>
            </w: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573BA3A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1.属于国家秘密</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ED7E52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058464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AA7DB1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9C12C6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A494D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5AC841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tcPr>
          <w:p w14:paraId="01D134B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550F8CB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0A8E495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202EC19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797615D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2.其他法律行政法规禁止公开</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91D37E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CC4F46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99625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8F6773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9B4EE8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E9F9ED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15BDB0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7D3A5D7F">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34AE2BA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67451C5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1BA3BBC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3.危及“三安全一稳定”</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8A0D1F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D3F1CE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66BED2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7E70FD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71E4D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7D1CA6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74C19C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3D7EFED6">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1C03C67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532D2FB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4F3CC52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4.保护第三方合法权益</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D26FA4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3AA0C1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D09289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D1D134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7E308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E8637B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119AE67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31A269F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1F9D60C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0D7E565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295C2E1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5.属于三类内部事务信息</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9247EC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0B008B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F35A88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7F7D5A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148F83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D65AA0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23DAAA0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7707C4B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5816A94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0693A6A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665678E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6.属于四类过程性信息</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ADCC3D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68F4F2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685B5C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11C9F7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712756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97703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1714D3C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599CD7C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2952724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735B130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630A73A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7.属于行政执法案卷</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C764CA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D6238B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BEA2D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F89705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79EC41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DCF17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751D60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7DF409B1">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5D92BF3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671D875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31824D8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8.属于行政查询事项</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2AADF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76392C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F16CD4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FCAC54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C0968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8F2C0D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4E55BA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2A3C271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6E6D680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14:paraId="5117F0D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（四）无法提供</w:t>
            </w: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5BF51FB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1.本机关不掌握相关政府信息</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7C765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5</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C80CBF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A0AA1D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DB6B03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6DEA24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341ED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23AD684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5</w:t>
            </w:r>
          </w:p>
        </w:tc>
      </w:tr>
      <w:tr w14:paraId="3824BDBB">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7C138A7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5A3117D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4122696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2.没有现成信息需要另行制作</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849FC7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CB0A1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D10036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2B85E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AD8DC8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DD2BD9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643B396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406F16C6">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7008BEB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5517D2C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01BF8B2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3.补正后申请内容仍不明确</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A8CE12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DCF2A7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44BE17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501B57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DD543C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35B708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1FFBD34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42F122A9">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041EE0C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14:paraId="55902B2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（五）不予处理</w:t>
            </w: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5BE874A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1.信访举报投诉类申请</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2D828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9639DD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D01375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E0712B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B8EFCC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DA56A8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57BBD2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2</w:t>
            </w:r>
          </w:p>
        </w:tc>
      </w:tr>
      <w:tr w14:paraId="3270E065">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678702C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2B8E032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14DEE06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2.重复申请</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3F7E75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8B7AED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B8873F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0FFA650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87E73B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1F4701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47C8400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3E46A1A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63E7827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75359C0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612EB9D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3.要求提供公开出版物</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4A959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6A2011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358F8C3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776512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1C55311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9918C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669A25D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43C622D1">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59E9155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50291FC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
          <w:p w14:paraId="67273FE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4.无正当理由大量反复申请</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4CEE7B9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9A03D7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204E96C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1EDCE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7348F7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tcPr>
          <w:p w14:paraId="5A0E317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514A02E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78A7F34A">
        <w:tblPrEx>
          <w:tblCellMar>
            <w:top w:w="0" w:type="dxa"/>
            <w:left w:w="0" w:type="dxa"/>
            <w:bottom w:w="0" w:type="dxa"/>
            <w:right w:w="0" w:type="dxa"/>
          </w:tblCellMar>
        </w:tblPrEx>
        <w:trPr>
          <w:trHeight w:val="779" w:hRule="atLeast"/>
          <w:jc w:val="center"/>
        </w:trPr>
        <w:tc>
          <w:tcPr>
            <w:tcW w:w="0" w:type="auto"/>
            <w:vMerge w:val="continue"/>
            <w:tcBorders>
              <w:top w:val="nil"/>
              <w:left w:val="single" w:color="auto" w:sz="8" w:space="0"/>
              <w:bottom w:val="inset" w:color="auto" w:sz="8" w:space="0"/>
              <w:right w:val="single" w:color="auto" w:sz="8" w:space="0"/>
            </w:tcBorders>
            <w:vAlign w:val="center"/>
          </w:tcPr>
          <w:p w14:paraId="250497B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
          <w:p w14:paraId="3C5A44F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inset" w:color="auto" w:sz="8" w:space="0"/>
              <w:right w:val="single" w:color="auto" w:sz="8" w:space="0"/>
            </w:tcBorders>
            <w:tcMar>
              <w:top w:w="0" w:type="dxa"/>
              <w:left w:w="57" w:type="dxa"/>
              <w:bottom w:w="0" w:type="dxa"/>
              <w:right w:w="57" w:type="dxa"/>
            </w:tcMar>
            <w:vAlign w:val="center"/>
          </w:tcPr>
          <w:p w14:paraId="52CE1EB3">
            <w:pPr>
              <w:keepNext w:val="0"/>
              <w:keepLines w:val="0"/>
              <w:pageBreakBefore w:val="0"/>
              <w:widowControl/>
              <w:kinsoku/>
              <w:wordWrap/>
              <w:overflowPunct/>
              <w:topLinePunct w:val="0"/>
              <w:autoSpaceDE/>
              <w:autoSpaceDN/>
              <w:bidi w:val="0"/>
              <w:adjustRightInd/>
              <w:snapToGrid/>
              <w:spacing w:line="320" w:lineRule="exact"/>
              <w:textAlignment w:val="auto"/>
              <w:rPr>
                <w:rFonts w:ascii="宋体" w:hAnsi="宋体" w:eastAsia="宋体" w:cs="宋体"/>
                <w:kern w:val="0"/>
                <w:sz w:val="24"/>
                <w:szCs w:val="24"/>
              </w:rPr>
            </w:pPr>
            <w:r>
              <w:rPr>
                <w:rFonts w:hint="eastAsia" w:ascii="宋体" w:hAnsi="宋体" w:eastAsia="宋体" w:cs="宋体"/>
                <w:kern w:val="0"/>
                <w:sz w:val="20"/>
                <w:szCs w:val="20"/>
              </w:rPr>
              <w:t>5.要求行政机关确认或重新出具已获取信息</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5ED743C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78BFA0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1157A1C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4A70B3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096D2A8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p w14:paraId="4C37583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inset" w:color="auto" w:sz="8" w:space="0"/>
              <w:right w:val="single" w:color="auto" w:sz="8" w:space="0"/>
            </w:tcBorders>
            <w:tcMar>
              <w:top w:w="0" w:type="dxa"/>
              <w:left w:w="57" w:type="dxa"/>
              <w:bottom w:w="0" w:type="dxa"/>
              <w:right w:w="57" w:type="dxa"/>
            </w:tcMar>
            <w:vAlign w:val="center"/>
          </w:tcPr>
          <w:p w14:paraId="07C9836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69A2F5D6">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374A8EE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943" w:type="dxa"/>
            <w:vMerge w:val="restart"/>
            <w:tcBorders>
              <w:top w:val="inset" w:color="auto" w:sz="8" w:space="0"/>
              <w:left w:val="nil"/>
              <w:bottom w:val="inset" w:color="auto" w:sz="8" w:space="0"/>
              <w:right w:val="single" w:color="auto" w:sz="8" w:space="0"/>
            </w:tcBorders>
            <w:tcMar>
              <w:top w:w="0" w:type="dxa"/>
              <w:left w:w="57" w:type="dxa"/>
              <w:bottom w:w="0" w:type="dxa"/>
              <w:right w:w="57" w:type="dxa"/>
            </w:tcMar>
            <w:vAlign w:val="center"/>
          </w:tcPr>
          <w:p w14:paraId="2F8D23D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（六）其他处理</w:t>
            </w: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p w14:paraId="4C08826D">
            <w:pPr>
              <w:keepNext w:val="0"/>
              <w:keepLines w:val="0"/>
              <w:pageBreakBefore w:val="0"/>
              <w:widowControl/>
              <w:kinsoku/>
              <w:wordWrap/>
              <w:overflowPunct/>
              <w:topLinePunct w:val="0"/>
              <w:autoSpaceDE/>
              <w:autoSpaceDN/>
              <w:bidi w:val="0"/>
              <w:adjustRightInd/>
              <w:snapToGrid/>
              <w:spacing w:line="320" w:lineRule="exact"/>
              <w:textAlignment w:val="auto"/>
              <w:rPr>
                <w:rFonts w:ascii="宋体" w:hAnsi="宋体" w:eastAsia="宋体" w:cs="宋体"/>
                <w:kern w:val="0"/>
                <w:sz w:val="24"/>
                <w:szCs w:val="24"/>
              </w:rPr>
            </w:pPr>
            <w:r>
              <w:rPr>
                <w:rFonts w:hint="eastAsia" w:ascii="宋体" w:hAnsi="宋体" w:eastAsia="宋体" w:cs="宋体"/>
                <w:kern w:val="0"/>
                <w:sz w:val="20"/>
                <w:szCs w:val="20"/>
              </w:rPr>
              <w:t>1.申请人无正当理由逾期不补正、行政机关不再处理其政府信息公开申请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2B6783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EC9201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089C030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F09C4E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2D2E8D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7B1EF4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5F7FBD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70F81EED">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565E388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inset" w:color="auto" w:sz="8" w:space="0"/>
              <w:left w:val="nil"/>
              <w:bottom w:val="inset" w:color="auto" w:sz="8" w:space="0"/>
              <w:right w:val="single" w:color="auto" w:sz="8" w:space="0"/>
            </w:tcBorders>
            <w:vAlign w:val="center"/>
          </w:tcPr>
          <w:p w14:paraId="7D3732A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p w14:paraId="4612ED6D">
            <w:pPr>
              <w:keepNext w:val="0"/>
              <w:keepLines w:val="0"/>
              <w:pageBreakBefore w:val="0"/>
              <w:widowControl/>
              <w:kinsoku/>
              <w:wordWrap/>
              <w:overflowPunct/>
              <w:topLinePunct w:val="0"/>
              <w:autoSpaceDE/>
              <w:autoSpaceDN/>
              <w:bidi w:val="0"/>
              <w:adjustRightInd/>
              <w:snapToGrid/>
              <w:spacing w:line="320" w:lineRule="exact"/>
              <w:textAlignment w:val="auto"/>
              <w:rPr>
                <w:rFonts w:ascii="宋体" w:hAnsi="宋体" w:eastAsia="宋体" w:cs="宋体"/>
                <w:kern w:val="0"/>
                <w:sz w:val="24"/>
                <w:szCs w:val="24"/>
              </w:rPr>
            </w:pPr>
            <w:r>
              <w:rPr>
                <w:rFonts w:hint="eastAsia" w:ascii="宋体" w:hAnsi="宋体" w:eastAsia="宋体" w:cs="宋体"/>
                <w:kern w:val="0"/>
                <w:sz w:val="20"/>
                <w:szCs w:val="20"/>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056572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9B3586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1B1D5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66A939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D019A0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18ED612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11ADF7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14:paraId="30941397">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0C191DF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inset" w:color="auto" w:sz="8" w:space="0"/>
              <w:left w:val="nil"/>
              <w:bottom w:val="inset" w:color="auto" w:sz="8" w:space="0"/>
              <w:right w:val="single" w:color="auto" w:sz="8" w:space="0"/>
            </w:tcBorders>
            <w:vAlign w:val="center"/>
          </w:tcPr>
          <w:p w14:paraId="3C63CB2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p w14:paraId="09C124E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3.其他</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F4D9DF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B783C4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9720B2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55F77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F3827D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17C421C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1AB41E7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r>
      <w:tr w14:paraId="175D5E5D">
        <w:tblPrEx>
          <w:tblCellMar>
            <w:top w:w="0" w:type="dxa"/>
            <w:left w:w="0" w:type="dxa"/>
            <w:bottom w:w="0" w:type="dxa"/>
            <w:right w:w="0" w:type="dxa"/>
          </w:tblCellMar>
        </w:tblPrEx>
        <w:trPr>
          <w:jc w:val="center"/>
        </w:trPr>
        <w:tc>
          <w:tcPr>
            <w:tcW w:w="0" w:type="auto"/>
            <w:vMerge w:val="continue"/>
            <w:tcBorders>
              <w:top w:val="nil"/>
              <w:left w:val="single" w:color="auto" w:sz="8" w:space="0"/>
              <w:bottom w:val="inset" w:color="auto" w:sz="8" w:space="0"/>
              <w:right w:val="single" w:color="auto" w:sz="8" w:space="0"/>
            </w:tcBorders>
            <w:vAlign w:val="center"/>
          </w:tcPr>
          <w:p w14:paraId="40073D0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7EF6004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（七）总计</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523884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11</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39E25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EB1C51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40E8AE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408FE7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B9844A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3771C7F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11</w:t>
            </w:r>
          </w:p>
        </w:tc>
      </w:tr>
      <w:tr w14:paraId="24A26B65">
        <w:tblPrEx>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211EA0B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r>
              <w:rPr>
                <w:rFonts w:hint="eastAsia" w:ascii="宋体" w:hAnsi="宋体" w:eastAsia="宋体" w:cs="宋体"/>
                <w:kern w:val="0"/>
                <w:sz w:val="20"/>
                <w:szCs w:val="20"/>
              </w:rPr>
              <w:t>四、结转下年度继续办理</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6E628AF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2661F4E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5C9CC31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70C1EF9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F5886A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14:paraId="3DFA48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tcPr>
          <w:p w14:paraId="72AF06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bl>
    <w:p w14:paraId="131DC7FD">
      <w:pPr>
        <w:numPr>
          <w:ilvl w:val="0"/>
          <w:numId w:val="0"/>
        </w:numPr>
        <w:spacing w:line="560" w:lineRule="exact"/>
        <w:ind w:firstLine="614" w:firstLineChars="200"/>
        <w:jc w:val="left"/>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政府信息公开行政复议、行政诉讼情况</w:t>
      </w:r>
    </w:p>
    <w:tbl>
      <w:tblPr>
        <w:tblStyle w:val="5"/>
        <w:tblW w:w="9748" w:type="dxa"/>
        <w:jc w:val="center"/>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454A8B7B">
        <w:tblPrEx>
          <w:tblCellMar>
            <w:top w:w="0" w:type="dxa"/>
            <w:left w:w="0" w:type="dxa"/>
            <w:bottom w:w="0" w:type="dxa"/>
            <w:right w:w="0"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B44FA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行政复议</w:t>
            </w:r>
          </w:p>
        </w:tc>
        <w:tc>
          <w:tcPr>
            <w:tcW w:w="6428" w:type="dxa"/>
            <w:gridSpan w:val="10"/>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F06E1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行政诉讼</w:t>
            </w:r>
          </w:p>
        </w:tc>
      </w:tr>
      <w:tr w14:paraId="44E70284">
        <w:tblPrEx>
          <w:tblCellMar>
            <w:top w:w="0" w:type="dxa"/>
            <w:left w:w="0" w:type="dxa"/>
            <w:bottom w:w="0" w:type="dxa"/>
            <w:right w:w="0" w:type="dxa"/>
          </w:tblCellMar>
        </w:tblPrEx>
        <w:trPr>
          <w:jc w:val="center"/>
        </w:trPr>
        <w:tc>
          <w:tcPr>
            <w:tcW w:w="64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476BE4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结果维持</w:t>
            </w:r>
          </w:p>
        </w:tc>
        <w:tc>
          <w:tcPr>
            <w:tcW w:w="64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9505CB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2"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D3B155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42"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4E54B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2"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77026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总计</w:t>
            </w:r>
          </w:p>
        </w:tc>
        <w:tc>
          <w:tcPr>
            <w:tcW w:w="3213"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B8C9B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353CA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复议后起诉</w:t>
            </w:r>
          </w:p>
        </w:tc>
      </w:tr>
      <w:tr w14:paraId="2E21DD05">
        <w:tblPrEx>
          <w:tblCellMar>
            <w:top w:w="0" w:type="dxa"/>
            <w:left w:w="0" w:type="dxa"/>
            <w:bottom w:w="0" w:type="dxa"/>
            <w:right w:w="0" w:type="dxa"/>
          </w:tblCellMar>
        </w:tblPrEx>
        <w:trPr>
          <w:jc w:val="center"/>
        </w:trPr>
        <w:tc>
          <w:tcPr>
            <w:tcW w:w="0" w:type="auto"/>
            <w:vMerge w:val="continue"/>
            <w:tcBorders>
              <w:top w:val="nil"/>
              <w:left w:val="single" w:color="auto" w:sz="8" w:space="0"/>
              <w:bottom w:val="single" w:color="auto" w:sz="8" w:space="0"/>
              <w:right w:val="single" w:color="auto" w:sz="8" w:space="0"/>
            </w:tcBorders>
            <w:vAlign w:val="center"/>
          </w:tcPr>
          <w:p w14:paraId="1CD6109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nil"/>
              <w:left w:val="single" w:color="auto" w:sz="8" w:space="0"/>
              <w:bottom w:val="single" w:color="auto" w:sz="8" w:space="0"/>
              <w:right w:val="single" w:color="auto" w:sz="8" w:space="0"/>
            </w:tcBorders>
            <w:vAlign w:val="center"/>
          </w:tcPr>
          <w:p w14:paraId="3EAE7FA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21B9D14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E3CAC8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81A335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宋体" w:hAnsi="宋体" w:eastAsia="宋体" w:cs="宋体"/>
                <w:kern w:val="0"/>
                <w:sz w:val="24"/>
                <w:szCs w:val="24"/>
              </w:rPr>
            </w:pP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8089B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B5EC7C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B4EBA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CDCFE5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19DAE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color w:val="000000"/>
                <w:kern w:val="0"/>
                <w:sz w:val="20"/>
                <w:szCs w:val="20"/>
              </w:rPr>
              <w:t>总计</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F7A282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B0E267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83104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EF19D2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53BEF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color w:val="000000"/>
                <w:kern w:val="0"/>
                <w:sz w:val="20"/>
                <w:szCs w:val="20"/>
              </w:rPr>
              <w:t>总计</w:t>
            </w:r>
          </w:p>
        </w:tc>
      </w:tr>
      <w:tr w14:paraId="5008A733">
        <w:tblPrEx>
          <w:tblCellMar>
            <w:top w:w="0" w:type="dxa"/>
            <w:left w:w="0" w:type="dxa"/>
            <w:bottom w:w="0" w:type="dxa"/>
            <w:right w:w="0"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B1D716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E14F79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3</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E99EF5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8BA286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6</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AE427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9</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1027A3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0</w:t>
            </w:r>
          </w:p>
        </w:tc>
        <w:tc>
          <w:tcPr>
            <w:tcW w:w="64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DD5680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9CAE09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BE16CF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45A425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B2BDCB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826AA2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920D24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E201C1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eastAsia="宋体" w:cs="宋体"/>
                <w:kern w:val="0"/>
                <w:sz w:val="24"/>
                <w:szCs w:val="24"/>
              </w:rPr>
            </w:pPr>
            <w:r>
              <w:rPr>
                <w:rFonts w:hint="eastAsia" w:ascii="宋体" w:hAnsi="宋体" w:eastAsia="宋体" w:cs="宋体"/>
                <w:kern w:val="0"/>
                <w:sz w:val="20"/>
                <w:szCs w:val="20"/>
                <w:lang w:val="en-US" w:eastAsia="zh-CN"/>
              </w:rPr>
              <w:t>0</w:t>
            </w:r>
          </w:p>
        </w:tc>
        <w:tc>
          <w:tcPr>
            <w:tcW w:w="64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ECC97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r>
    </w:tbl>
    <w:p w14:paraId="75BAAD71">
      <w:pPr>
        <w:widowControl/>
        <w:shd w:val="clear" w:color="auto" w:fill="FFFFFF"/>
        <w:spacing w:line="560" w:lineRule="exact"/>
        <w:ind w:firstLine="614" w:firstLineChars="200"/>
        <w:jc w:val="left"/>
        <w:rPr>
          <w:rFonts w:ascii="黑体" w:hAnsi="黑体" w:eastAsia="黑体" w:cs="黑体"/>
          <w:color w:val="333333"/>
          <w:sz w:val="32"/>
          <w:szCs w:val="32"/>
        </w:rPr>
      </w:pPr>
      <w:r>
        <w:rPr>
          <w:rFonts w:hint="eastAsia" w:ascii="黑体" w:hAnsi="黑体" w:eastAsia="黑体" w:cs="黑体"/>
          <w:color w:val="000000"/>
          <w:kern w:val="0"/>
          <w:sz w:val="32"/>
          <w:szCs w:val="32"/>
          <w:shd w:val="clear" w:color="auto" w:fill="FFFFFF"/>
        </w:rPr>
        <w:t>五、存在的主要问题及改进措施</w:t>
      </w:r>
    </w:p>
    <w:p w14:paraId="42523B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8"/>
        <w:jc w:val="both"/>
        <w:rPr>
          <w:rFonts w:hint="eastAsia" w:ascii="仿宋_GB2312" w:hAnsi="仿宋_GB2312" w:eastAsia="仿宋_GB2312" w:cs="仿宋_GB2312"/>
          <w:color w:val="1D1D1D"/>
          <w:kern w:val="0"/>
          <w:sz w:val="32"/>
          <w:szCs w:val="32"/>
          <w:highlight w:val="none"/>
          <w:shd w:val="clear" w:color="auto" w:fill="FFFFFF"/>
        </w:rPr>
      </w:pPr>
      <w:r>
        <w:rPr>
          <w:rFonts w:hint="eastAsia" w:ascii="仿宋_GB2312" w:hAnsi="仿宋_GB2312" w:eastAsia="仿宋_GB2312" w:cs="仿宋_GB2312"/>
          <w:color w:val="1D1D1D"/>
          <w:kern w:val="0"/>
          <w:sz w:val="32"/>
          <w:szCs w:val="32"/>
          <w:highlight w:val="none"/>
          <w:shd w:val="clear" w:color="auto" w:fill="FFFFFF"/>
        </w:rPr>
        <w:t>回顾202</w:t>
      </w:r>
      <w:r>
        <w:rPr>
          <w:rFonts w:hint="eastAsia" w:ascii="仿宋_GB2312" w:hAnsi="仿宋_GB2312" w:eastAsia="仿宋_GB2312" w:cs="仿宋_GB2312"/>
          <w:color w:val="1D1D1D"/>
          <w:kern w:val="0"/>
          <w:sz w:val="32"/>
          <w:szCs w:val="32"/>
          <w:highlight w:val="none"/>
          <w:shd w:val="clear" w:color="auto" w:fill="FFFFFF"/>
          <w:lang w:val="en-US" w:eastAsia="zh-CN"/>
        </w:rPr>
        <w:t>5</w:t>
      </w:r>
      <w:r>
        <w:rPr>
          <w:rFonts w:hint="eastAsia" w:ascii="仿宋_GB2312" w:hAnsi="仿宋_GB2312" w:eastAsia="仿宋_GB2312" w:cs="仿宋_GB2312"/>
          <w:color w:val="1D1D1D"/>
          <w:kern w:val="0"/>
          <w:sz w:val="32"/>
          <w:szCs w:val="32"/>
          <w:highlight w:val="none"/>
          <w:shd w:val="clear" w:color="auto" w:fill="FFFFFF"/>
        </w:rPr>
        <w:t>年虎丘街道的政府信息公开工作，虽然取得了新的进步，但也存在一些问题：</w:t>
      </w:r>
    </w:p>
    <w:p w14:paraId="4B60A09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8"/>
        <w:jc w:val="both"/>
        <w:rPr>
          <w:rFonts w:hint="eastAsia" w:ascii="仿宋_GB2312" w:hAnsi="仿宋_GB2312" w:eastAsia="仿宋_GB2312" w:cs="仿宋_GB2312"/>
          <w:color w:val="1D1D1D"/>
          <w:kern w:val="0"/>
          <w:sz w:val="32"/>
          <w:szCs w:val="32"/>
          <w:highlight w:val="none"/>
          <w:shd w:val="clear" w:color="auto" w:fill="FFFFFF"/>
        </w:rPr>
      </w:pPr>
      <w:r>
        <w:rPr>
          <w:rFonts w:hint="default" w:ascii="仿宋_GB2312" w:hAnsi="仿宋_GB2312" w:eastAsia="仿宋_GB2312" w:cs="仿宋_GB2312"/>
          <w:color w:val="1D1D1D"/>
          <w:kern w:val="0"/>
          <w:sz w:val="32"/>
          <w:szCs w:val="32"/>
          <w:highlight w:val="none"/>
          <w:shd w:val="clear" w:color="auto" w:fill="FFFFFF"/>
        </w:rPr>
        <w:t>一方面，现有公开信息与群众实际需求之间存在结构性落差，跨部门资源整合与精准化呈现尚需加强；另一方面，政策解读的形式创新不足，缺乏场景化、互动性强的表达方式，影响了公众参与和政策感知效果。</w:t>
      </w:r>
    </w:p>
    <w:p w14:paraId="5456B3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8"/>
        <w:jc w:val="both"/>
        <w:rPr>
          <w:rFonts w:hint="eastAsia" w:ascii="仿宋_GB2312" w:hAnsi="仿宋_GB2312" w:eastAsia="仿宋_GB2312" w:cs="仿宋_GB2312"/>
          <w:color w:val="1D1D1D"/>
          <w:kern w:val="0"/>
          <w:sz w:val="32"/>
          <w:szCs w:val="32"/>
          <w:highlight w:val="none"/>
          <w:shd w:val="clear" w:color="auto" w:fill="FFFFFF"/>
        </w:rPr>
      </w:pPr>
      <w:r>
        <w:rPr>
          <w:rFonts w:hint="default" w:ascii="仿宋_GB2312" w:hAnsi="仿宋_GB2312" w:eastAsia="仿宋_GB2312" w:cs="仿宋_GB2312"/>
          <w:color w:val="1D1D1D"/>
          <w:kern w:val="0"/>
          <w:sz w:val="32"/>
          <w:szCs w:val="32"/>
          <w:highlight w:val="none"/>
          <w:shd w:val="clear" w:color="auto" w:fill="FFFFFF"/>
        </w:rPr>
        <w:t>针对当前短板，下一步将重点推进以下工作：一是提升信息供给质量，建立民生需求响应机制，通过数据归集与主题式呈现，实现从</w:t>
      </w:r>
      <w:r>
        <w:rPr>
          <w:rFonts w:hint="eastAsia" w:ascii="仿宋_GB2312" w:hAnsi="仿宋_GB2312" w:eastAsia="仿宋_GB2312" w:cs="仿宋_GB2312"/>
          <w:color w:val="1D1D1D"/>
          <w:kern w:val="0"/>
          <w:sz w:val="32"/>
          <w:szCs w:val="32"/>
          <w:highlight w:val="none"/>
          <w:shd w:val="clear" w:color="auto" w:fill="FFFFFF"/>
          <w:lang w:eastAsia="zh-CN"/>
        </w:rPr>
        <w:t>“</w:t>
      </w:r>
      <w:r>
        <w:rPr>
          <w:rFonts w:hint="default" w:ascii="仿宋_GB2312" w:hAnsi="仿宋_GB2312" w:eastAsia="仿宋_GB2312" w:cs="仿宋_GB2312"/>
          <w:color w:val="1D1D1D"/>
          <w:kern w:val="0"/>
          <w:sz w:val="32"/>
          <w:szCs w:val="32"/>
          <w:highlight w:val="none"/>
          <w:shd w:val="clear" w:color="auto" w:fill="FFFFFF"/>
        </w:rPr>
        <w:t>有公开</w:t>
      </w:r>
      <w:r>
        <w:rPr>
          <w:rFonts w:hint="eastAsia" w:ascii="仿宋_GB2312" w:hAnsi="仿宋_GB2312" w:eastAsia="仿宋_GB2312" w:cs="仿宋_GB2312"/>
          <w:color w:val="1D1D1D"/>
          <w:kern w:val="0"/>
          <w:sz w:val="32"/>
          <w:szCs w:val="32"/>
          <w:highlight w:val="none"/>
          <w:shd w:val="clear" w:color="auto" w:fill="FFFFFF"/>
          <w:lang w:eastAsia="zh-CN"/>
        </w:rPr>
        <w:t>”</w:t>
      </w:r>
      <w:r>
        <w:rPr>
          <w:rFonts w:hint="default" w:ascii="仿宋_GB2312" w:hAnsi="仿宋_GB2312" w:eastAsia="仿宋_GB2312" w:cs="仿宋_GB2312"/>
          <w:color w:val="1D1D1D"/>
          <w:kern w:val="0"/>
          <w:sz w:val="32"/>
          <w:szCs w:val="32"/>
          <w:highlight w:val="none"/>
          <w:shd w:val="clear" w:color="auto" w:fill="FFFFFF"/>
        </w:rPr>
        <w:t>向</w:t>
      </w:r>
      <w:r>
        <w:rPr>
          <w:rFonts w:hint="eastAsia" w:ascii="仿宋_GB2312" w:hAnsi="仿宋_GB2312" w:eastAsia="仿宋_GB2312" w:cs="仿宋_GB2312"/>
          <w:color w:val="1D1D1D"/>
          <w:kern w:val="0"/>
          <w:sz w:val="32"/>
          <w:szCs w:val="32"/>
          <w:highlight w:val="none"/>
          <w:shd w:val="clear" w:color="auto" w:fill="FFFFFF"/>
          <w:lang w:eastAsia="zh-CN"/>
        </w:rPr>
        <w:t>“</w:t>
      </w:r>
      <w:r>
        <w:rPr>
          <w:rFonts w:hint="default" w:ascii="仿宋_GB2312" w:hAnsi="仿宋_GB2312" w:eastAsia="仿宋_GB2312" w:cs="仿宋_GB2312"/>
          <w:color w:val="1D1D1D"/>
          <w:kern w:val="0"/>
          <w:sz w:val="32"/>
          <w:szCs w:val="32"/>
          <w:highlight w:val="none"/>
          <w:shd w:val="clear" w:color="auto" w:fill="FFFFFF"/>
        </w:rPr>
        <w:t>好公开</w:t>
      </w:r>
      <w:r>
        <w:rPr>
          <w:rFonts w:hint="eastAsia" w:ascii="仿宋_GB2312" w:hAnsi="仿宋_GB2312" w:eastAsia="仿宋_GB2312" w:cs="仿宋_GB2312"/>
          <w:color w:val="1D1D1D"/>
          <w:kern w:val="0"/>
          <w:sz w:val="32"/>
          <w:szCs w:val="32"/>
          <w:highlight w:val="none"/>
          <w:shd w:val="clear" w:color="auto" w:fill="FFFFFF"/>
          <w:lang w:eastAsia="zh-CN"/>
        </w:rPr>
        <w:t>”</w:t>
      </w:r>
      <w:r>
        <w:rPr>
          <w:rFonts w:hint="default" w:ascii="仿宋_GB2312" w:hAnsi="仿宋_GB2312" w:eastAsia="仿宋_GB2312" w:cs="仿宋_GB2312"/>
          <w:color w:val="1D1D1D"/>
          <w:kern w:val="0"/>
          <w:sz w:val="32"/>
          <w:szCs w:val="32"/>
          <w:highlight w:val="none"/>
          <w:shd w:val="clear" w:color="auto" w:fill="FFFFFF"/>
        </w:rPr>
        <w:t>转变；二是创新政策传播方式，运用可视化解读、案例化说明及线上互动等形式，让政策更接地气、更易理解。同时将持续完善跨部门协同机制，压实主体责任，形成常态长效的工作合力。</w:t>
      </w:r>
    </w:p>
    <w:p w14:paraId="29077B04">
      <w:pPr>
        <w:spacing w:line="560" w:lineRule="exact"/>
        <w:ind w:firstLine="580" w:firstLineChars="18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rPr>
        <w:t>其他需要报告的事项</w:t>
      </w:r>
    </w:p>
    <w:p w14:paraId="37D326EF">
      <w:pPr>
        <w:spacing w:line="560" w:lineRule="exact"/>
        <w:ind w:firstLine="580" w:firstLineChars="18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按照《国务院办公厅关于印发〈政府信息公开信息处理费管理办法〉的通知》规定的按件、按量收费标准，本年度没有产生信息公开处理费。</w:t>
      </w:r>
    </w:p>
    <w:p w14:paraId="635A2110">
      <w:pPr>
        <w:spacing w:line="560" w:lineRule="exact"/>
        <w:ind w:firstLine="580" w:firstLineChars="189"/>
        <w:rPr>
          <w:rFonts w:hint="eastAsia" w:ascii="仿宋_GB2312" w:hAnsi="仿宋_GB2312" w:eastAsia="仿宋_GB2312" w:cs="仿宋_GB2312"/>
          <w:sz w:val="32"/>
          <w:szCs w:val="32"/>
          <w:lang w:val="en-US" w:eastAsia="zh-CN"/>
        </w:rPr>
      </w:pPr>
    </w:p>
    <w:p w14:paraId="36DD15CF">
      <w:pPr>
        <w:spacing w:line="560" w:lineRule="exact"/>
        <w:ind w:firstLine="580" w:firstLineChars="189"/>
        <w:rPr>
          <w:rFonts w:hint="eastAsia" w:ascii="仿宋_GB2312" w:hAnsi="仿宋_GB2312" w:eastAsia="仿宋_GB2312" w:cs="仿宋_GB2312"/>
          <w:sz w:val="32"/>
          <w:szCs w:val="32"/>
          <w:lang w:val="en-US" w:eastAsia="zh-CN"/>
        </w:rPr>
      </w:pPr>
    </w:p>
    <w:p w14:paraId="43A21C20">
      <w:pPr>
        <w:spacing w:line="560" w:lineRule="exact"/>
        <w:ind w:firstLine="580" w:firstLineChars="189"/>
        <w:rPr>
          <w:rFonts w:hint="eastAsia" w:ascii="仿宋_GB2312" w:hAnsi="仿宋_GB2312" w:eastAsia="仿宋_GB2312" w:cs="仿宋_GB2312"/>
          <w:sz w:val="32"/>
          <w:szCs w:val="32"/>
          <w:lang w:val="en-US" w:eastAsia="zh-CN"/>
        </w:rPr>
      </w:pPr>
    </w:p>
    <w:p w14:paraId="0485ECD8">
      <w:bookmarkStart w:id="0" w:name="_GoBack"/>
      <w:bookmarkEnd w:id="0"/>
    </w:p>
    <w:sectPr>
      <w:pgSz w:w="11906" w:h="16838"/>
      <w:pgMar w:top="2098" w:right="1474" w:bottom="1928" w:left="1587" w:header="851" w:footer="992" w:gutter="0"/>
      <w:cols w:space="0" w:num="1"/>
      <w:docGrid w:type="linesAndChars" w:linePitch="582" w:charSpace="-27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1ZGQ4NDJhY2E3MzUzMDQzZTMwYWE2NjRlYTcyNjYifQ=="/>
  </w:docVars>
  <w:rsids>
    <w:rsidRoot w:val="7CEC28D0"/>
    <w:rsid w:val="01D220CE"/>
    <w:rsid w:val="02E66B31"/>
    <w:rsid w:val="06366E11"/>
    <w:rsid w:val="07270F84"/>
    <w:rsid w:val="0B521208"/>
    <w:rsid w:val="0DEF7FBB"/>
    <w:rsid w:val="0ECA7307"/>
    <w:rsid w:val="1A1E49AB"/>
    <w:rsid w:val="1BBB6955"/>
    <w:rsid w:val="1D835251"/>
    <w:rsid w:val="1F204D21"/>
    <w:rsid w:val="1F394761"/>
    <w:rsid w:val="22D16A5E"/>
    <w:rsid w:val="24961D0D"/>
    <w:rsid w:val="26094761"/>
    <w:rsid w:val="297A4154"/>
    <w:rsid w:val="298F0342"/>
    <w:rsid w:val="2AED4651"/>
    <w:rsid w:val="2C8156F1"/>
    <w:rsid w:val="2F177EEF"/>
    <w:rsid w:val="2F9337FA"/>
    <w:rsid w:val="31186804"/>
    <w:rsid w:val="31D976DD"/>
    <w:rsid w:val="32931F82"/>
    <w:rsid w:val="32BA306B"/>
    <w:rsid w:val="34B63DD6"/>
    <w:rsid w:val="35FE5964"/>
    <w:rsid w:val="37BA58BB"/>
    <w:rsid w:val="38E075A3"/>
    <w:rsid w:val="3BDC004C"/>
    <w:rsid w:val="3D6F0EF6"/>
    <w:rsid w:val="3DB1150E"/>
    <w:rsid w:val="3EDB4A95"/>
    <w:rsid w:val="406960D0"/>
    <w:rsid w:val="4235270E"/>
    <w:rsid w:val="42AC43D6"/>
    <w:rsid w:val="440B5E1C"/>
    <w:rsid w:val="44937BC0"/>
    <w:rsid w:val="45D8699F"/>
    <w:rsid w:val="45DB537A"/>
    <w:rsid w:val="46EE37D3"/>
    <w:rsid w:val="471072A6"/>
    <w:rsid w:val="4A6F4C2B"/>
    <w:rsid w:val="4AE42F23"/>
    <w:rsid w:val="4E047139"/>
    <w:rsid w:val="51053BF3"/>
    <w:rsid w:val="521C11F4"/>
    <w:rsid w:val="555D3FFE"/>
    <w:rsid w:val="568B6949"/>
    <w:rsid w:val="57A852D8"/>
    <w:rsid w:val="5A687F8A"/>
    <w:rsid w:val="607641C6"/>
    <w:rsid w:val="60B13450"/>
    <w:rsid w:val="633F4D43"/>
    <w:rsid w:val="65493C57"/>
    <w:rsid w:val="65C71020"/>
    <w:rsid w:val="667A42E4"/>
    <w:rsid w:val="699F29DF"/>
    <w:rsid w:val="6BD53D4B"/>
    <w:rsid w:val="70324D4B"/>
    <w:rsid w:val="70671D7D"/>
    <w:rsid w:val="74E62003"/>
    <w:rsid w:val="75B4336E"/>
    <w:rsid w:val="7B007056"/>
    <w:rsid w:val="7CEC28D0"/>
    <w:rsid w:val="7F203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1777</Words>
  <Characters>1834</Characters>
  <Lines>0</Lines>
  <Paragraphs>0</Paragraphs>
  <TotalTime>22</TotalTime>
  <ScaleCrop>false</ScaleCrop>
  <LinksUpToDate>false</LinksUpToDate>
  <CharactersWithSpaces>1834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2023-12-27T02:12:00Z</dcterms:created>
  <dc:creator>ydhsa</dc:creator>
  <cp:lastModifiedBy>虎丘街道</cp:lastModifiedBy>
  <cp:lastPrinted>2026-01-16T02:09:00Z</cp:lastPrinted>
  <dcterms:modified xsi:type="dcterms:W3CDTF">2026-01-20T08:37:31Z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7979227AB52A49589A1425823D4E66FB_13</vt:lpwstr>
  </property>
  <property fmtid="{D5CDD505-2E9C-101B-9397-08002B2CF9AE}" pid="4" name="KSOTemplateDocerSaveRecord">
    <vt:lpwstr>eyJoZGlkIjoiYzE1YTYxYjBiNmRkNDM5NDZmMWRlYmQ4Y2VkOWNmZDYiLCJ1c2VySWQiOiIxNTkwNTQ3NTcxIn0=</vt:lpwstr>
  </property>
</Properties>
</file>