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B26A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苏州市姑苏区教育体育和文化旅游委员会</w:t>
      </w:r>
    </w:p>
    <w:p w14:paraId="59A020B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val="0"/>
        <w:snapToGrid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bCs/>
          <w:color w:val="auto"/>
          <w:kern w:val="0"/>
          <w:sz w:val="24"/>
          <w:szCs w:val="24"/>
          <w:highlight w:val="none"/>
          <w:shd w:val="clear" w:color="auto" w:fill="auto"/>
          <w:lang w:val="en-US" w:eastAsia="zh-CN" w:bidi="ar-SA"/>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SA"/>
        </w:rPr>
        <w:t>关于2026-2027学年苏州市姑苏区中小学（幼儿园）“阳光食堂”生鲜食材配送项目的公开采购公告</w:t>
      </w:r>
    </w:p>
    <w:p w14:paraId="3B22773A">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bCs/>
          <w:color w:val="auto"/>
          <w:sz w:val="24"/>
          <w:szCs w:val="24"/>
          <w:highlight w:val="none"/>
        </w:rPr>
      </w:pPr>
    </w:p>
    <w:p w14:paraId="5CBC0EAC">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项目概况：</w:t>
      </w:r>
    </w:p>
    <w:p w14:paraId="3ACD4D51">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Theme="minorEastAsia" w:hAnsiTheme="minorEastAsia" w:eastAsiaTheme="minorEastAsia" w:cstheme="minorEastAsia"/>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苏州市诚源招投标代理有限公司</w:t>
      </w:r>
      <w:r>
        <w:rPr>
          <w:rFonts w:hint="eastAsia" w:asciiTheme="minorEastAsia" w:hAnsiTheme="minorEastAsia" w:eastAsiaTheme="minorEastAsia" w:cstheme="minorEastAsia"/>
          <w:color w:val="auto"/>
          <w:spacing w:val="0"/>
          <w:kern w:val="2"/>
          <w:sz w:val="24"/>
          <w:szCs w:val="24"/>
          <w:highlight w:val="none"/>
          <w:lang w:val="en-US" w:eastAsia="zh-CN" w:bidi="ar-SA"/>
        </w:rPr>
        <w:t>受苏州市姑苏区教育体育和文化旅游委员会委托，就其需要采购的2026-2027学年苏州市姑苏区中小学（幼儿园）“阳光食堂”生鲜食材配送项目进行公开招标，</w:t>
      </w: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欢迎符合资格的供应商参加</w:t>
      </w:r>
      <w:r>
        <w:rPr>
          <w:rFonts w:hint="eastAsia" w:asciiTheme="minorEastAsia" w:hAnsiTheme="minorEastAsia" w:eastAsiaTheme="minorEastAsia" w:cstheme="minorEastAsia"/>
          <w:b/>
          <w:bCs/>
          <w:color w:val="auto"/>
          <w:spacing w:val="0"/>
          <w:kern w:val="2"/>
          <w:sz w:val="24"/>
          <w:szCs w:val="24"/>
          <w:highlight w:val="none"/>
          <w:lang w:val="en-US" w:eastAsia="zh-CN" w:bidi="ar-SA"/>
        </w:rPr>
        <w:t>。</w:t>
      </w:r>
    </w:p>
    <w:p w14:paraId="5F06CD68">
      <w:pPr>
        <w:pStyle w:val="4"/>
        <w:keepNext w:val="0"/>
        <w:keepLines w:val="0"/>
        <w:pageBreakBefore w:val="0"/>
        <w:wordWrap/>
        <w:topLinePunct w:val="0"/>
        <w:bidi w:val="0"/>
        <w:spacing w:line="360" w:lineRule="auto"/>
        <w:ind w:left="0" w:leftChars="0" w:firstLine="480" w:firstLineChars="200"/>
        <w:jc w:val="both"/>
        <w:rPr>
          <w:rFonts w:hint="eastAsia" w:asciiTheme="minorEastAsia" w:hAnsiTheme="minorEastAsia" w:eastAsiaTheme="minorEastAsia" w:cstheme="minorEastAsia"/>
          <w:color w:val="auto"/>
          <w:spacing w:val="0"/>
          <w:kern w:val="2"/>
          <w:sz w:val="24"/>
          <w:szCs w:val="24"/>
          <w:highlight w:val="none"/>
          <w:lang w:val="en-US" w:eastAsia="zh-CN" w:bidi="ar-SA"/>
        </w:rPr>
      </w:pPr>
      <w:r>
        <w:rPr>
          <w:rFonts w:hint="eastAsia" w:asciiTheme="minorEastAsia" w:hAnsiTheme="minorEastAsia" w:eastAsiaTheme="minorEastAsia" w:cstheme="minorEastAsia"/>
          <w:color w:val="auto"/>
          <w:spacing w:val="0"/>
          <w:kern w:val="2"/>
          <w:sz w:val="24"/>
          <w:szCs w:val="24"/>
          <w:highlight w:val="none"/>
          <w:lang w:val="en-US" w:eastAsia="zh-CN" w:bidi="ar-SA"/>
        </w:rPr>
        <w:t>该项目的</w:t>
      </w: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相关资格审查报名资料须</w:t>
      </w:r>
      <w:r>
        <w:rPr>
          <w:rFonts w:hint="eastAsia" w:asciiTheme="minorEastAsia" w:hAnsiTheme="minorEastAsia" w:eastAsiaTheme="minorEastAsia" w:cstheme="minorEastAsia"/>
          <w:color w:val="auto"/>
          <w:spacing w:val="0"/>
          <w:kern w:val="2"/>
          <w:sz w:val="24"/>
          <w:szCs w:val="24"/>
          <w:highlight w:val="none"/>
          <w:lang w:val="en-US" w:eastAsia="zh-CN" w:bidi="ar-SA"/>
        </w:rPr>
        <w:t>在报名截止前</w:t>
      </w: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按要求</w:t>
      </w:r>
      <w:r>
        <w:rPr>
          <w:rFonts w:hint="eastAsia" w:asciiTheme="minorEastAsia" w:hAnsiTheme="minorEastAsia" w:eastAsiaTheme="minorEastAsia" w:cstheme="minorEastAsia"/>
          <w:color w:val="auto"/>
          <w:spacing w:val="0"/>
          <w:kern w:val="2"/>
          <w:sz w:val="24"/>
          <w:szCs w:val="24"/>
          <w:highlight w:val="none"/>
          <w:lang w:val="en-US" w:eastAsia="zh-CN" w:bidi="ar-SA"/>
        </w:rPr>
        <w:t>提交至招标代理机构，并于</w:t>
      </w: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2026年8月7日8点30分（</w:t>
      </w:r>
      <w:r>
        <w:rPr>
          <w:rFonts w:hint="eastAsia" w:asciiTheme="minorEastAsia" w:hAnsiTheme="minorEastAsia" w:eastAsiaTheme="minorEastAsia" w:cstheme="minorEastAsia"/>
          <w:color w:val="auto"/>
          <w:spacing w:val="0"/>
          <w:kern w:val="2"/>
          <w:sz w:val="24"/>
          <w:szCs w:val="24"/>
          <w:highlight w:val="none"/>
          <w:lang w:val="en-US" w:eastAsia="zh-CN" w:bidi="ar-SA"/>
        </w:rPr>
        <w:t>北京时间）提交投标文件。</w:t>
      </w:r>
    </w:p>
    <w:p w14:paraId="4B8C2F37">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bCs/>
          <w:color w:val="auto"/>
          <w:spacing w:val="13"/>
          <w:kern w:val="0"/>
          <w:sz w:val="24"/>
          <w:szCs w:val="24"/>
          <w:highlight w:val="none"/>
          <w:lang w:val="en-US" w:eastAsia="zh-CN"/>
        </w:rPr>
      </w:pPr>
    </w:p>
    <w:p w14:paraId="1C842852">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val="0"/>
          <w:bCs w:val="0"/>
          <w:color w:val="auto"/>
          <w:spacing w:val="13"/>
          <w:kern w:val="0"/>
          <w:sz w:val="24"/>
          <w:szCs w:val="24"/>
          <w:highlight w:val="none"/>
          <w:lang w:val="en-US" w:eastAsia="zh-CN"/>
        </w:rPr>
      </w:pPr>
      <w:r>
        <w:rPr>
          <w:rFonts w:hint="eastAsia" w:asciiTheme="minorEastAsia" w:hAnsiTheme="minorEastAsia" w:eastAsiaTheme="minorEastAsia" w:cstheme="minorEastAsia"/>
          <w:b w:val="0"/>
          <w:bCs w:val="0"/>
          <w:color w:val="auto"/>
          <w:spacing w:val="13"/>
          <w:kern w:val="0"/>
          <w:sz w:val="24"/>
          <w:szCs w:val="24"/>
          <w:highlight w:val="none"/>
          <w:lang w:val="en-US" w:eastAsia="zh-CN"/>
        </w:rPr>
        <w:t>一、</w:t>
      </w:r>
      <w:r>
        <w:rPr>
          <w:rFonts w:hint="eastAsia" w:asciiTheme="minorEastAsia" w:hAnsiTheme="minorEastAsia" w:eastAsiaTheme="minorEastAsia" w:cstheme="minorEastAsia"/>
          <w:b w:val="0"/>
          <w:bCs w:val="0"/>
          <w:color w:val="auto"/>
          <w:spacing w:val="13"/>
          <w:kern w:val="0"/>
          <w:sz w:val="24"/>
          <w:szCs w:val="24"/>
          <w:highlight w:val="none"/>
        </w:rPr>
        <w:t>项目基本情况</w:t>
      </w:r>
      <w:r>
        <w:rPr>
          <w:rFonts w:hint="eastAsia" w:asciiTheme="minorEastAsia" w:hAnsiTheme="minorEastAsia" w:eastAsiaTheme="minorEastAsia" w:cstheme="minorEastAsia"/>
          <w:b w:val="0"/>
          <w:bCs w:val="0"/>
          <w:color w:val="auto"/>
          <w:spacing w:val="13"/>
          <w:kern w:val="0"/>
          <w:sz w:val="24"/>
          <w:szCs w:val="24"/>
          <w:highlight w:val="none"/>
          <w:lang w:val="en-US" w:eastAsia="zh-CN"/>
        </w:rPr>
        <w:t>：</w:t>
      </w:r>
    </w:p>
    <w:p w14:paraId="673BB6B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1.项目编号：SZSCY2026-S-G-018</w:t>
      </w:r>
    </w:p>
    <w:p w14:paraId="06F3660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2.项目名称：2026-2027学年苏州市姑苏区中小学（幼儿园）“阳光食堂”生鲜食材配送项目</w:t>
      </w:r>
    </w:p>
    <w:p w14:paraId="47C8622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3.预算金额：约人民币壹亿贰仟万元整（￥：12000万元）。</w:t>
      </w:r>
    </w:p>
    <w:p w14:paraId="04B24A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4.招标内容简要说明：</w:t>
      </w:r>
    </w:p>
    <w:p w14:paraId="0755BE0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4.1服务范围：83所学校（含校区），共计约6.5万人。</w:t>
      </w:r>
    </w:p>
    <w:p w14:paraId="3BD87E3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4.2资金来源：学校代收伙食费。</w:t>
      </w:r>
    </w:p>
    <w:p w14:paraId="1F34A8C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4.3招标目的：根据教育部、国家市场监督管理总局、国家卫生健康委员会联合发布的第45号令《学校食品安全与营养健康管理规定</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中小学校园食品安全和膳食经费管理工作指引》、教体艺函〔2024〕39号和江苏省教育厅1+4文件（《省教育厅等七部门关于加强中小学食堂与校外供餐管理的通知</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江苏省中小学阳光食堂信息化监管服务平台业务指引》（修订版）、《江苏省中小学校膳食营养与食品安全指南</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江苏省中小学校食堂财务管理指引</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江苏省中小学校食堂会计核算指引》和《苏州市中小学阳光食堂信息化监管服务平台食堂招标采购监管指引》）等文件要求，确保中小学校、幼儿园食堂食品安全，规范食品及原料采购行为，维护师生权益，扎实有效推进“校园餐”信息化监管服务工作。</w:t>
      </w:r>
    </w:p>
    <w:p w14:paraId="6F4B946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4.4招标方式：公开招标。</w:t>
      </w:r>
    </w:p>
    <w:p w14:paraId="3D573A0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4.5合同履行期限：2026年9月1日至2027年8月31日。</w:t>
      </w:r>
    </w:p>
    <w:p w14:paraId="52D781E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4.6关于中标人数量：本项目确定若实质性响应招标文件的投标人≥17家的，中标15家。如在选取最后一个名额时，评标总得分相同的投标人有两个或两个以上的，则该名额由采购单位以抽签方式确定。若报名单位或实质性响应招标文件的投标人小于17家的则本项目废标重招。</w:t>
      </w:r>
    </w:p>
    <w:p w14:paraId="551399F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4.7配送的食材范围：蔬菜、水果、冷鲜肉、新鲜面点、豆制品、禽蛋、冷冻鸡副、冷冻鸭副、冷冻牛肉、冷冻水产、鲜活水产、冷冻点心、调味品、南北干货、酱菜、饼干零食、面粉制品、糕点、肉制品等食材配送服务（不包括大米、食用油、乳制品）。</w:t>
      </w:r>
    </w:p>
    <w:p w14:paraId="620DF2BF">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val="0"/>
          <w:bCs w:val="0"/>
          <w:color w:val="auto"/>
          <w:spacing w:val="13"/>
          <w:kern w:val="0"/>
          <w:sz w:val="24"/>
          <w:szCs w:val="24"/>
          <w:highlight w:val="none"/>
          <w:lang w:val="en-US" w:eastAsia="zh-CN"/>
        </w:rPr>
      </w:pPr>
      <w:r>
        <w:rPr>
          <w:rFonts w:hint="eastAsia" w:asciiTheme="minorEastAsia" w:hAnsiTheme="minorEastAsia" w:eastAsiaTheme="minorEastAsia" w:cstheme="minorEastAsia"/>
          <w:b w:val="0"/>
          <w:bCs w:val="0"/>
          <w:color w:val="auto"/>
          <w:spacing w:val="13"/>
          <w:kern w:val="0"/>
          <w:sz w:val="24"/>
          <w:szCs w:val="24"/>
          <w:highlight w:val="none"/>
          <w:lang w:val="en-US" w:eastAsia="zh-CN"/>
        </w:rPr>
        <w:t>二、投标单位资格要求：</w:t>
      </w:r>
    </w:p>
    <w:p w14:paraId="4920F3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本项目实行资格审查现场考察。符合报名资格的供应商，由招标代理机构将组织现场核查，完成资格预审现场核查工作后，资格预审工作组全体成员和供应商在资格预审现场签字确认。供应商如对结果有疑问可现场提出并协商解决。供应商拒绝在《资格审查现场考察表》签字确认的，视为放弃投标。</w:t>
      </w:r>
    </w:p>
    <w:p w14:paraId="1C9C5AD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以下“资格审查材料</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内容涉及项目评标，后期投标文件相关资料需与资格审查现场考察结论保持一致。若不一致的，相关数据均以资格审查现场考察结论为准。</w:t>
      </w:r>
    </w:p>
    <w:p w14:paraId="6D4BA4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供应商需在报名截止前将以下报名资料提交至招标代理机构：</w:t>
      </w:r>
    </w:p>
    <w:p w14:paraId="061283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 w:val="0"/>
          <w:bCs w:val="0"/>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b w:val="0"/>
          <w:bCs w:val="0"/>
          <w:i w:val="0"/>
          <w:iCs w:val="0"/>
          <w:caps w:val="0"/>
          <w:color w:val="auto"/>
          <w:spacing w:val="0"/>
          <w:kern w:val="0"/>
          <w:sz w:val="24"/>
          <w:szCs w:val="24"/>
          <w:highlight w:val="none"/>
          <w:lang w:val="en-US" w:eastAsia="zh-CN" w:bidi="ar-SA"/>
        </w:rPr>
        <w:t>1.资格审查材料</w:t>
      </w:r>
    </w:p>
    <w:p w14:paraId="1A56524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1.1具有独立承担民事责任的能力；（提供有效的营业执照）</w:t>
      </w:r>
    </w:p>
    <w:p w14:paraId="204D574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1.2具有良好的商业信誉和健全的财务会计制度；（提供上年度的审计报告或报名截止前三个月内任意时间的银行资信证明）</w:t>
      </w:r>
    </w:p>
    <w:p w14:paraId="3E33409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1.3具有履行合同所必需的设备和专业技术能力；</w:t>
      </w:r>
    </w:p>
    <w:p w14:paraId="5C3111B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1.3.1提供有效的《食品经营许可证》；（提供有效证明文件，食品经营许可证载明的经营场所应当与营业执照住所和配送操作场所一致）</w:t>
      </w:r>
    </w:p>
    <w:p w14:paraId="074574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1.3.2投标人近三年内开展过企事业单位相关食材配送业务；（提供连续三个月及以上的配送合同、配送期间付款发票）</w:t>
      </w:r>
    </w:p>
    <w:p w14:paraId="5B736FA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1.3.3投标人在苏州大市范围内具有不低于1500㎡的固定室内经营场地（含验收、食品检测、加工处理、洗消保洁、库房、包装、配货、发货等区域，不含办公区域及与经营场所不相连的外设仓库、冷库）；（提供房产证或其他有效房产证明材料，如为租赁同时提供租赁协议及任意一期的租赁发票）</w:t>
      </w:r>
    </w:p>
    <w:p w14:paraId="2C4930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1.3.4投标人固定室内经营场地功能分区涵盖办公区、仓储区、物资分发区、蔬菜分拣加工区、水产加工区、肉类分割区、筐箱清选消毒区、检测室等，且上述所有功能分区需在同一场所且为《食品经营许可证》中的经营场所。后续食材配送均须从接受现场考察的固定仓储、冷库设施出发。（提供承诺函）</w:t>
      </w:r>
    </w:p>
    <w:p w14:paraId="70B57E0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1.3.5在苏州大市范围内具有自有或租赁冷藏、冷冻库总容积不低于800m³，冷藏、冷冻库应位于操作场所内或与之相连（食材出入动线连贯）；其中冷冻库温度稳定在-18℃以下，冷藏库温度稳定在0-4℃，冷冻库及冷藏库均有温度记录仪；（提供冷藏、冷冻库平面图）</w:t>
      </w:r>
    </w:p>
    <w:p w14:paraId="1F39A1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pPr>
      <w:r>
        <w:rPr>
          <w:rFonts w:hint="eastAsia" w:asciiTheme="minorEastAsia" w:hAnsiTheme="minorEastAsia" w:eastAsiaTheme="minorEastAsia" w:cstheme="minorEastAsia"/>
          <w:b/>
          <w:bCs/>
          <w:i w:val="0"/>
          <w:iCs w:val="0"/>
          <w:caps w:val="0"/>
          <w:color w:val="auto"/>
          <w:spacing w:val="0"/>
          <w:sz w:val="24"/>
          <w:szCs w:val="24"/>
          <w:highlight w:val="none"/>
          <w:u w:val="single"/>
          <w:lang w:val="en-US" w:eastAsia="zh-CN"/>
        </w:rPr>
        <w:t>注：</w:t>
      </w:r>
      <w:r>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t>冷藏库和冷冻库内，肉类、蔬菜等应分区、分容器或独立包装存放，禁止混放。不同类别的食品不得直接接触，并应采取物理隔离措施防止交叉污染。（提供承诺函）</w:t>
      </w:r>
    </w:p>
    <w:p w14:paraId="2002959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1.3.6投标人服务于本项目的自有冷链运输厢式货车不低于4辆；【（提供服务于本项目的冷链车辆统计表（含所有人名称、车牌号）车辆机动车登记证书、车辆行驶证及有效交强险保险单，保险单中须注明厂牌型号和使用性质，使用性质为特殊用途车辆且已通过年检，承诺车辆服务于本项目；车辆配备卫星定位系统，提供中标后接入苏州市级或区（县）级市监局平台和江苏省阳光食堂信息化监管平台苏州模块承诺函和车厢内部视频监控】</w:t>
      </w:r>
    </w:p>
    <w:p w14:paraId="06CBEF7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1.3.7为提供便捷服务，供应商实际配送距离（供应商固定经营场地）至苏州市姑苏区东环第二幼儿园、苏州市沧浪新城第四实验小学校、苏州市阳光城实验小学校、苏州市姑苏区常青实验幼儿园的配送距离均不得超过80公里；（提供百度或高德地图的最近线路距离截图并予以说明）</w:t>
      </w:r>
    </w:p>
    <w:p w14:paraId="70836BF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1.3.8</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投标人服务于本项目的固定工作人员至少12名：【提供服务于本项目的固定人员统计表（包括但不限于姓名、身份证号等）及承诺函，并现场核查以上相关资料，</w:t>
      </w:r>
      <w:r>
        <w:rPr>
          <w:rFonts w:hint="eastAsia" w:asciiTheme="minorEastAsia" w:hAnsiTheme="minorEastAsia" w:eastAsiaTheme="minorEastAsia" w:cstheme="minorEastAsia"/>
          <w:i w:val="0"/>
          <w:iCs w:val="0"/>
          <w:caps w:val="0"/>
          <w:color w:val="auto"/>
          <w:spacing w:val="0"/>
          <w:sz w:val="24"/>
          <w:szCs w:val="24"/>
          <w:highlight w:val="none"/>
          <w:lang w:val="zh-CN" w:eastAsia="zh-CN"/>
        </w:rPr>
        <w:t>核查</w:t>
      </w:r>
      <w:r>
        <w:rPr>
          <w:rFonts w:hint="eastAsia" w:asciiTheme="minorEastAsia" w:hAnsiTheme="minorEastAsia" w:eastAsiaTheme="minorEastAsia" w:cstheme="minorEastAsia"/>
          <w:i w:val="0"/>
          <w:iCs w:val="0"/>
          <w:caps w:val="0"/>
          <w:color w:val="auto"/>
          <w:spacing w:val="0"/>
          <w:sz w:val="24"/>
          <w:szCs w:val="24"/>
          <w:highlight w:val="none"/>
          <w:lang w:val="en-US" w:eastAsia="zh-CN"/>
        </w:rPr>
        <w:t>相关人员</w:t>
      </w:r>
      <w:r>
        <w:rPr>
          <w:rFonts w:hint="eastAsia" w:asciiTheme="minorEastAsia" w:hAnsiTheme="minorEastAsia" w:eastAsiaTheme="minorEastAsia" w:cstheme="minorEastAsia"/>
          <w:i w:val="0"/>
          <w:iCs w:val="0"/>
          <w:caps w:val="0"/>
          <w:color w:val="auto"/>
          <w:spacing w:val="0"/>
          <w:sz w:val="24"/>
          <w:szCs w:val="24"/>
          <w:highlight w:val="none"/>
          <w:lang w:val="zh-CN" w:eastAsia="zh-CN"/>
        </w:rPr>
        <w:t>近三个月</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及以上</w:t>
      </w:r>
      <w:r>
        <w:rPr>
          <w:rFonts w:hint="eastAsia" w:asciiTheme="minorEastAsia" w:hAnsiTheme="minorEastAsia" w:eastAsiaTheme="minorEastAsia" w:cstheme="minorEastAsia"/>
          <w:i w:val="0"/>
          <w:iCs w:val="0"/>
          <w:caps w:val="0"/>
          <w:color w:val="auto"/>
          <w:spacing w:val="0"/>
          <w:sz w:val="24"/>
          <w:szCs w:val="24"/>
          <w:highlight w:val="none"/>
          <w:lang w:val="zh-CN" w:eastAsia="zh-CN"/>
        </w:rPr>
        <w:t>社保证明（成立不满一年的</w:t>
      </w:r>
      <w:r>
        <w:rPr>
          <w:rFonts w:hint="eastAsia" w:asciiTheme="minorEastAsia" w:hAnsiTheme="minorEastAsia" w:eastAsiaTheme="minorEastAsia" w:cstheme="minorEastAsia"/>
          <w:i w:val="0"/>
          <w:iCs w:val="0"/>
          <w:caps w:val="0"/>
          <w:color w:val="auto"/>
          <w:spacing w:val="0"/>
          <w:sz w:val="24"/>
          <w:szCs w:val="24"/>
          <w:highlight w:val="none"/>
          <w:lang w:val="en-US" w:eastAsia="zh-CN"/>
        </w:rPr>
        <w:t>供应商可</w:t>
      </w:r>
      <w:r>
        <w:rPr>
          <w:rFonts w:hint="eastAsia" w:asciiTheme="minorEastAsia" w:hAnsiTheme="minorEastAsia" w:eastAsiaTheme="minorEastAsia" w:cstheme="minorEastAsia"/>
          <w:i w:val="0"/>
          <w:iCs w:val="0"/>
          <w:caps w:val="0"/>
          <w:color w:val="auto"/>
          <w:spacing w:val="0"/>
          <w:sz w:val="24"/>
          <w:szCs w:val="24"/>
          <w:highlight w:val="none"/>
          <w:lang w:val="zh-CN" w:eastAsia="zh-CN"/>
        </w:rPr>
        <w:t>提供任意一个月的</w:t>
      </w:r>
      <w:r>
        <w:rPr>
          <w:rFonts w:hint="eastAsia" w:asciiTheme="minorEastAsia" w:hAnsiTheme="minorEastAsia" w:eastAsiaTheme="minorEastAsia" w:cstheme="minorEastAsia"/>
          <w:i w:val="0"/>
          <w:iCs w:val="0"/>
          <w:caps w:val="0"/>
          <w:color w:val="auto"/>
          <w:spacing w:val="0"/>
          <w:sz w:val="24"/>
          <w:szCs w:val="24"/>
          <w:highlight w:val="none"/>
          <w:lang w:val="en-US" w:eastAsia="zh-CN"/>
        </w:rPr>
        <w:t>社保证明、</w:t>
      </w:r>
      <w:r>
        <w:rPr>
          <w:rFonts w:hint="eastAsia" w:asciiTheme="minorEastAsia" w:hAnsiTheme="minorEastAsia" w:eastAsiaTheme="minorEastAsia" w:cstheme="minorEastAsia"/>
          <w:i w:val="0"/>
          <w:iCs w:val="0"/>
          <w:caps w:val="0"/>
          <w:color w:val="auto"/>
          <w:spacing w:val="0"/>
          <w:sz w:val="24"/>
          <w:szCs w:val="24"/>
          <w:highlight w:val="none"/>
          <w:lang w:val="zh-CN" w:eastAsia="zh-CN"/>
        </w:rPr>
        <w:t>有效健康证明</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及</w:t>
      </w:r>
      <w:r>
        <w:rPr>
          <w:rFonts w:hint="eastAsia" w:asciiTheme="minorEastAsia" w:hAnsiTheme="minorEastAsia" w:eastAsiaTheme="minorEastAsia" w:cstheme="minorEastAsia"/>
          <w:i w:val="0"/>
          <w:iCs w:val="0"/>
          <w:caps w:val="0"/>
          <w:color w:val="auto"/>
          <w:spacing w:val="0"/>
          <w:sz w:val="24"/>
          <w:szCs w:val="24"/>
          <w:highlight w:val="none"/>
          <w:lang w:val="zh-CN" w:eastAsia="zh-CN"/>
        </w:rPr>
        <w:t>公安部门出具</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有效期内的</w:t>
      </w:r>
      <w:r>
        <w:rPr>
          <w:rFonts w:hint="eastAsia" w:asciiTheme="minorEastAsia" w:hAnsiTheme="minorEastAsia" w:eastAsiaTheme="minorEastAsia" w:cstheme="minorEastAsia"/>
          <w:i w:val="0"/>
          <w:iCs w:val="0"/>
          <w:caps w:val="0"/>
          <w:color w:val="auto"/>
          <w:spacing w:val="0"/>
          <w:sz w:val="24"/>
          <w:szCs w:val="24"/>
          <w:highlight w:val="none"/>
          <w:lang w:val="zh-CN" w:eastAsia="zh-CN"/>
        </w:rPr>
        <w:t>无犯罪记录证明</w:t>
      </w:r>
      <w:r>
        <w:rPr>
          <w:rFonts w:hint="eastAsia" w:asciiTheme="minorEastAsia" w:hAnsiTheme="minorEastAsia" w:eastAsiaTheme="minorEastAsia" w:cstheme="minorEastAsia"/>
          <w:i w:val="0"/>
          <w:iCs w:val="0"/>
          <w:caps w:val="0"/>
          <w:color w:val="auto"/>
          <w:spacing w:val="0"/>
          <w:sz w:val="24"/>
          <w:szCs w:val="24"/>
          <w:highlight w:val="none"/>
          <w:lang w:val="en-US" w:eastAsia="zh-CN"/>
        </w:rPr>
        <w:t>）】</w:t>
      </w:r>
    </w:p>
    <w:p w14:paraId="02C6A6B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1.3.9</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投标人固定经营场地距离粪坑、污水池、暴露垃圾场（站）、旱厕等污染源25m以上，并设置在粉尘、有害气体、放射性物质和其他扩散性污染源的影响范围之外；场所周围不得有虫害大量孳生的潜在场所</w:t>
      </w:r>
    </w:p>
    <w:p w14:paraId="3AB011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1.3.10</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检测设备和人员能满足相应检测需求，快检室的面积不低于20平方米；</w:t>
      </w:r>
    </w:p>
    <w:p w14:paraId="5A197C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w:t>
      </w:r>
      <w:r>
        <w:rPr>
          <w:rFonts w:hint="eastAsia" w:asciiTheme="minorEastAsia" w:hAnsiTheme="minorEastAsia" w:eastAsiaTheme="minorEastAsia" w:cstheme="minorEastAsia"/>
          <w:i w:val="0"/>
          <w:iCs w:val="0"/>
          <w:caps w:val="0"/>
          <w:color w:val="auto"/>
          <w:spacing w:val="0"/>
          <w:sz w:val="24"/>
          <w:szCs w:val="24"/>
          <w:highlight w:val="none"/>
          <w:lang w:val="en-US" w:eastAsia="zh-CN"/>
        </w:rPr>
        <w:t>配备具有瘦肉精、兽药残留、农药残留、重金属检测、抗生素等食材检测设备及试剂；（提供承诺函，招标人有权在投标单位服务周期内根据实际情况，动态指定快检必检项目）；</w:t>
      </w:r>
    </w:p>
    <w:p w14:paraId="621F43F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（2）</w:t>
      </w:r>
      <w:r>
        <w:rPr>
          <w:rFonts w:hint="eastAsia" w:asciiTheme="minorEastAsia" w:hAnsiTheme="minorEastAsia" w:eastAsiaTheme="minorEastAsia" w:cstheme="minorEastAsia"/>
          <w:i w:val="0"/>
          <w:iCs w:val="0"/>
          <w:caps w:val="0"/>
          <w:color w:val="auto"/>
          <w:spacing w:val="0"/>
          <w:sz w:val="24"/>
          <w:szCs w:val="24"/>
          <w:highlight w:val="none"/>
          <w:lang w:val="en-US" w:eastAsia="zh-CN"/>
        </w:rPr>
        <w:t>配备与检测能力、检测数量相适应的专职检测人员，检测人员应经过培训考核合格后持证上岗（人员包含在固定工作人员内）：提供布局图、提供相关证书，检测设备以投标单位购买发票为准，检测人员需同时具有有效健康证明及公安部门出具的无犯罪记录证明，且供应商近期为检测人员缴纳的社保证明及承诺函【（承诺中标后及时上传检测数据至苏州市级或区（县）级市监局平台）】。</w:t>
      </w:r>
    </w:p>
    <w:p w14:paraId="3B7DB69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1.3.11</w:t>
      </w:r>
      <w:r>
        <w:rPr>
          <w:rFonts w:hint="eastAsia" w:asciiTheme="minorEastAsia" w:hAnsiTheme="minorEastAsia" w:eastAsiaTheme="minorEastAsia" w:cstheme="minorEastAsia"/>
          <w:i w:val="0"/>
          <w:iCs w:val="0"/>
          <w:caps w:val="0"/>
          <w:color w:val="auto"/>
          <w:spacing w:val="0"/>
          <w:sz w:val="24"/>
          <w:szCs w:val="24"/>
          <w:highlight w:val="none"/>
          <w:lang w:val="en-US" w:eastAsia="zh-CN"/>
        </w:rPr>
        <w:t>经营场所建有收货、验收、分拣、加工、检测、发货、装车等全过程“互联网+视频监控”，能接入苏州市级或区（县）级市监局平台和苏州市中小学校食堂阳光监管服务平台；（提供承诺函）</w:t>
      </w:r>
    </w:p>
    <w:p w14:paraId="08D8FCC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1.3.12</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投标人需建立并执行食品安全管理制度，明确食品安全责任，落实岗位责任制；（提供建立并执行以上制度的承诺函）</w:t>
      </w:r>
    </w:p>
    <w:p w14:paraId="0FBDA3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1.4</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具有依法缴纳税收和社会保障资金的良好记录；（提供承诺函及参加本次采购活动前一年内至少三个月依法缴纳税收（如申报表/税票/缴款书）和社会保障资金的有效证明材料）</w:t>
      </w:r>
    </w:p>
    <w:p w14:paraId="2ED318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1.5其他特殊要求：</w:t>
      </w:r>
    </w:p>
    <w:p w14:paraId="2C0FB04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投标单位参加本次招标活动前两年内（报名截止前）无食品安全较大数额（≥5万元）行政处罚（提供承诺函）；无食品安全事故、没有引发较大负面舆情（提供承诺函）；</w:t>
      </w:r>
    </w:p>
    <w:p w14:paraId="6E113B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（2）</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在国家市场监督管理总局食品安全抽检公布结果查询系统https://spcjsac.gsxt.gov.cn/）参加本次招标活动前</w:t>
      </w:r>
      <w:r>
        <w:rPr>
          <w:rFonts w:hint="eastAsia" w:asciiTheme="minorEastAsia" w:hAnsiTheme="minorEastAsia" w:cstheme="minorEastAsia"/>
          <w:i w:val="0"/>
          <w:iCs w:val="0"/>
          <w:caps w:val="0"/>
          <w:color w:val="auto"/>
          <w:spacing w:val="0"/>
          <w:sz w:val="24"/>
          <w:szCs w:val="24"/>
          <w:highlight w:val="none"/>
          <w:lang w:val="en-US" w:eastAsia="zh-CN"/>
        </w:rPr>
        <w:t>三</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年内（报名</w:t>
      </w:r>
      <w:bookmarkStart w:id="0" w:name="_GoBack"/>
      <w:bookmarkEnd w:id="0"/>
      <w:r>
        <w:rPr>
          <w:rFonts w:hint="eastAsia" w:asciiTheme="minorEastAsia" w:hAnsiTheme="minorEastAsia" w:eastAsiaTheme="minorEastAsia" w:cstheme="minorEastAsia"/>
          <w:i w:val="0"/>
          <w:iCs w:val="0"/>
          <w:caps w:val="0"/>
          <w:color w:val="auto"/>
          <w:spacing w:val="0"/>
          <w:sz w:val="24"/>
          <w:szCs w:val="24"/>
          <w:highlight w:val="none"/>
          <w:lang w:val="en-US" w:eastAsia="zh-CN"/>
        </w:rPr>
        <w:t>截止前）无抽检不合格批次证明、农业农村部门的食用农产品监督抽检信息证明（提供证明材料或承诺函）；</w:t>
      </w:r>
    </w:p>
    <w:p w14:paraId="2098F0F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（3）未被“信用中国”网站（www.creditchina.gov.cn）列入失信执行人、重大税收违法案件当事人名单、严重违法失信行为记录名单（提供信用中国网站的信用报告）；</w:t>
      </w:r>
    </w:p>
    <w:p w14:paraId="1C09322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（4）</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参加本次招标活动近三年内（报名截止前）未被相关招标主体单位或监管部门等启动食材配送退出机制（提供承诺函）。</w:t>
      </w:r>
    </w:p>
    <w:p w14:paraId="6B9C0D5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1.6</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投标人承诺中标后为本项目投保食品安全责任保险。（提供承诺函）</w:t>
      </w:r>
    </w:p>
    <w:p w14:paraId="202F786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1.7</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法律、行政法规规定的其他条件。（提供承诺函）</w:t>
      </w:r>
    </w:p>
    <w:p w14:paraId="093731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pPr>
      <w:r>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t>注：</w:t>
      </w:r>
      <w:r>
        <w:rPr>
          <w:rFonts w:hint="eastAsia" w:asciiTheme="minorEastAsia" w:hAnsiTheme="minorEastAsia" w:eastAsiaTheme="minorEastAsia" w:cstheme="minorEastAsia"/>
          <w:i w:val="0"/>
          <w:iCs w:val="0"/>
          <w:caps w:val="0"/>
          <w:color w:val="auto"/>
          <w:spacing w:val="0"/>
          <w:kern w:val="0"/>
          <w:sz w:val="24"/>
          <w:szCs w:val="24"/>
          <w:highlight w:val="none"/>
          <w:u w:val="single"/>
          <w:lang w:val="en-US" w:eastAsia="zh-CN" w:bidi="ar-SA"/>
        </w:rPr>
        <w:t>1.</w:t>
      </w:r>
      <w:r>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t>本项目不接受联合体投标，且不允许转包或分包。单位法定代表人为同一人或存在控股、管理关系的不同单位，不得同时参加本项目投标。</w:t>
      </w:r>
    </w:p>
    <w:p w14:paraId="68A36B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960" w:firstLineChars="400"/>
        <w:jc w:val="both"/>
        <w:textAlignment w:val="auto"/>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u w:val="single"/>
          <w:lang w:val="en-US" w:eastAsia="zh-CN" w:bidi="ar-SA"/>
        </w:rPr>
        <w:t>2.</w:t>
      </w:r>
      <w:r>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t>若投标人以上的承诺不属实，一经查实将取消投标资格或入选候选资格，由此产生的损失由投标人自行承担。</w:t>
      </w:r>
    </w:p>
    <w:p w14:paraId="65EFAD1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960" w:firstLineChars="400"/>
        <w:jc w:val="both"/>
        <w:textAlignment w:val="auto"/>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u w:val="single"/>
          <w:lang w:val="en-US" w:eastAsia="zh-CN" w:bidi="ar-SA"/>
        </w:rPr>
        <w:t>3</w:t>
      </w:r>
      <w:r>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t>.如与姑苏区教育体育和文化旅游委员会下属学校（幼儿园）2026-2027学年度食堂委托经营合作餐饮公司存在直接或间接关联关系的，不得参与本项目投标，若经查实隐瞒关联关系中标的，采购单位有权直接取消其中标资格，由此产生的损失由投标人自行承担。</w:t>
      </w:r>
    </w:p>
    <w:p w14:paraId="27001B6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b/>
          <w:bCs/>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bCs/>
          <w:kern w:val="2"/>
          <w:sz w:val="24"/>
          <w:szCs w:val="24"/>
          <w:highlight w:val="none"/>
          <w:lang w:val="en-US" w:eastAsia="zh-CN" w:bidi="ar-SA"/>
        </w:rPr>
        <w:t>2.</w:t>
      </w:r>
      <w:r>
        <w:rPr>
          <w:rFonts w:hint="eastAsia" w:asciiTheme="minorEastAsia" w:hAnsiTheme="minorEastAsia" w:eastAsiaTheme="minorEastAsia" w:cstheme="minorEastAsia"/>
          <w:b/>
          <w:bCs/>
          <w:i w:val="0"/>
          <w:iCs w:val="0"/>
          <w:caps w:val="0"/>
          <w:color w:val="auto"/>
          <w:spacing w:val="0"/>
          <w:sz w:val="24"/>
          <w:szCs w:val="24"/>
          <w:highlight w:val="none"/>
          <w:lang w:val="en-US" w:eastAsia="zh-CN"/>
        </w:rPr>
        <w:t>资格审查的程序及说明</w:t>
      </w:r>
    </w:p>
    <w:p w14:paraId="3DAD726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kern w:val="2"/>
          <w:sz w:val="24"/>
          <w:szCs w:val="24"/>
          <w:highlight w:val="none"/>
          <w:lang w:val="en-US" w:eastAsia="zh-CN" w:bidi="ar-SA"/>
        </w:rPr>
        <w:t>2.1</w:t>
      </w:r>
      <w:r>
        <w:rPr>
          <w:rFonts w:hint="eastAsia" w:asciiTheme="minorEastAsia" w:hAnsiTheme="minorEastAsia" w:eastAsiaTheme="minorEastAsia" w:cstheme="minorEastAsia"/>
          <w:i w:val="0"/>
          <w:iCs w:val="0"/>
          <w:caps w:val="0"/>
          <w:color w:val="auto"/>
          <w:spacing w:val="0"/>
          <w:sz w:val="24"/>
          <w:szCs w:val="24"/>
          <w:highlight w:val="none"/>
          <w:lang w:val="en-US" w:eastAsia="zh-CN"/>
        </w:rPr>
        <w:t>第一步招标代理机构初审</w:t>
      </w:r>
    </w:p>
    <w:p w14:paraId="4FB70BE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投标单位须在报名截止前将资格审查资料、《资格审查表</w:t>
      </w:r>
      <w:r>
        <w:rPr>
          <w:rFonts w:hint="eastAsia" w:asciiTheme="minorEastAsia" w:hAnsiTheme="minorEastAsia" w:eastAsiaTheme="minorEastAsia" w:cstheme="minorEastAsia"/>
          <w:b w:val="0"/>
          <w:bCs w:val="0"/>
          <w:kern w:val="2"/>
          <w:sz w:val="24"/>
          <w:szCs w:val="24"/>
          <w:highlight w:val="none"/>
          <w:lang w:val="en-US" w:eastAsia="zh-CN" w:bidi="ar-SA"/>
        </w:rPr>
        <w:t>1</w:t>
      </w:r>
      <w:r>
        <w:rPr>
          <w:rFonts w:hint="eastAsia" w:asciiTheme="minorEastAsia" w:hAnsiTheme="minorEastAsia" w:cstheme="minorEastAsia"/>
          <w:b w:val="0"/>
          <w:bCs w:val="0"/>
          <w:kern w:val="2"/>
          <w:sz w:val="24"/>
          <w:szCs w:val="24"/>
          <w:highlight w:val="none"/>
          <w:lang w:val="en-US" w:eastAsia="zh-CN" w:bidi="ar-SA"/>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代理机构资格初审表</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资格审查表2</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资格审查现场考察表》及《能力值审查表》递交至苏州诚源招投标代理有限公司。报名结束后，招标代理机构将对报名材料《资格审查表1</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代理机构资格初审表》完整性进行初审，并填写《代理机构资格初审表》</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初审材料不完整的当场告知不通过理由</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投标单位现场签字确认</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投标单位拒绝签字确认的</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视为放弃投标，初审通过的投标单位获得现场考察资格。</w:t>
      </w:r>
    </w:p>
    <w:p w14:paraId="7E8F21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b w:val="0"/>
          <w:bCs w:val="0"/>
          <w:kern w:val="2"/>
          <w:sz w:val="24"/>
          <w:szCs w:val="24"/>
          <w:highlight w:val="none"/>
          <w:lang w:val="en-US" w:eastAsia="zh-CN" w:bidi="ar-SA"/>
        </w:rPr>
        <w:t>2.2</w:t>
      </w:r>
      <w:r>
        <w:rPr>
          <w:rFonts w:hint="eastAsia" w:asciiTheme="minorEastAsia" w:hAnsiTheme="minorEastAsia" w:eastAsiaTheme="minorEastAsia" w:cstheme="minorEastAsia"/>
          <w:i w:val="0"/>
          <w:iCs w:val="0"/>
          <w:caps w:val="0"/>
          <w:color w:val="auto"/>
          <w:spacing w:val="0"/>
          <w:sz w:val="24"/>
          <w:szCs w:val="24"/>
          <w:highlight w:val="none"/>
          <w:lang w:val="en-US" w:eastAsia="zh-CN"/>
        </w:rPr>
        <w:t>第二步资格审查小组现场考察</w:t>
      </w:r>
    </w:p>
    <w:p w14:paraId="0359B92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报名截止后招标代理机构组织资格审查小组，对初审通过的投标单位实施现场资格审查，考察内容详见《资格审查表2-资格审查现场考察表》及《能力值审查表》；完成现场考察工作后，资格审查工作组全体成员和投标单位在《资格审查表2-资格审查现场考察表》及《能力值审查表》上现场签字确认。投标单位如有疑问应现场提出并协商解决。投标单位拒绝在《资格审查表</w:t>
      </w:r>
      <w:r>
        <w:rPr>
          <w:rFonts w:hint="eastAsia" w:asciiTheme="minorEastAsia" w:hAnsiTheme="minorEastAsia" w:eastAsiaTheme="minorEastAsia" w:cstheme="minorEastAsia"/>
          <w:b w:val="0"/>
          <w:bCs w:val="0"/>
          <w:kern w:val="2"/>
          <w:sz w:val="24"/>
          <w:szCs w:val="24"/>
          <w:highlight w:val="none"/>
          <w:lang w:val="en-US" w:eastAsia="zh-CN" w:bidi="ar-SA"/>
        </w:rPr>
        <w:t>2</w:t>
      </w:r>
      <w:r>
        <w:rPr>
          <w:rFonts w:hint="eastAsia" w:asciiTheme="minorEastAsia" w:hAnsiTheme="minorEastAsia" w:eastAsiaTheme="minorEastAsia" w:cstheme="minorEastAsia"/>
          <w:i w:val="0"/>
          <w:iCs w:val="0"/>
          <w:caps w:val="0"/>
          <w:color w:val="auto"/>
          <w:spacing w:val="0"/>
          <w:sz w:val="24"/>
          <w:szCs w:val="24"/>
          <w:highlight w:val="none"/>
          <w:lang w:val="en-US" w:eastAsia="zh-CN"/>
        </w:rPr>
        <w:t>-资</w:t>
      </w:r>
      <w:r>
        <w:rPr>
          <w:rFonts w:hint="eastAsia" w:asciiTheme="minorEastAsia" w:hAnsiTheme="minorEastAsia" w:eastAsiaTheme="minorEastAsia" w:cstheme="minorEastAsia"/>
          <w:b w:val="0"/>
          <w:bCs w:val="0"/>
          <w:kern w:val="2"/>
          <w:sz w:val="24"/>
          <w:szCs w:val="24"/>
          <w:highlight w:val="none"/>
          <w:lang w:val="en-US" w:eastAsia="zh-CN" w:bidi="ar-SA"/>
        </w:rPr>
        <w:t>格</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审查现场考察表》及《能力值审查表》签字确认的，视为放弃投标。</w:t>
      </w:r>
    </w:p>
    <w:p w14:paraId="68345A95">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val="0"/>
          <w:bCs w:val="0"/>
          <w:color w:val="auto"/>
          <w:spacing w:val="13"/>
          <w:kern w:val="0"/>
          <w:sz w:val="24"/>
          <w:szCs w:val="24"/>
          <w:highlight w:val="none"/>
          <w:lang w:val="en-US" w:eastAsia="zh-CN"/>
        </w:rPr>
      </w:pPr>
      <w:r>
        <w:rPr>
          <w:rFonts w:hint="eastAsia" w:asciiTheme="minorEastAsia" w:hAnsiTheme="minorEastAsia" w:eastAsiaTheme="minorEastAsia" w:cstheme="minorEastAsia"/>
          <w:b w:val="0"/>
          <w:bCs w:val="0"/>
          <w:color w:val="auto"/>
          <w:spacing w:val="13"/>
          <w:kern w:val="0"/>
          <w:sz w:val="24"/>
          <w:szCs w:val="24"/>
          <w:highlight w:val="none"/>
          <w:lang w:val="en-US" w:eastAsia="zh-CN"/>
        </w:rPr>
        <w:t>三、能力值审查</w:t>
      </w:r>
    </w:p>
    <w:p w14:paraId="42B2271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sz w:val="24"/>
          <w:szCs w:val="24"/>
          <w:highlight w:val="none"/>
          <w:lang w:val="en-US" w:eastAsia="zh-CN"/>
        </w:rPr>
        <w:t>除提供资格审查材料外，供应商还须提供能力值自审材料，包括：</w:t>
      </w:r>
    </w:p>
    <w:p w14:paraId="0E27F3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具体的拟投入本项目配送的车辆数量及车辆相关材料：提供车辆产权证明材料，提供车辆行驶证、登记证及有效交强险保险单，保险单中须注明厂牌型号和使用性质且使用性质为特殊用途车辆；现场审查“服务于本项目”的冷链车辆总数，核查车辆行驶证及登记证</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需登记在投标人名下</w:t>
      </w:r>
      <w:r>
        <w:rPr>
          <w:rFonts w:hint="eastAsia" w:asciiTheme="minorEastAsia" w:hAnsiTheme="minorEastAsia" w:cstheme="minorEastAsia"/>
          <w:i w:val="0"/>
          <w:iCs w:val="0"/>
          <w:caps w:val="0"/>
          <w:color w:val="auto"/>
          <w:spacing w:val="0"/>
          <w:sz w:val="24"/>
          <w:szCs w:val="24"/>
          <w:highlight w:val="none"/>
          <w:lang w:val="en-US" w:eastAsia="zh-CN"/>
        </w:rPr>
        <w:t>）</w:t>
      </w:r>
      <w:r>
        <w:rPr>
          <w:rFonts w:hint="eastAsia" w:asciiTheme="minorEastAsia" w:hAnsiTheme="minorEastAsia" w:eastAsiaTheme="minorEastAsia" w:cstheme="minorEastAsia"/>
          <w:i w:val="0"/>
          <w:iCs w:val="0"/>
          <w:caps w:val="0"/>
          <w:color w:val="auto"/>
          <w:spacing w:val="0"/>
          <w:sz w:val="24"/>
          <w:szCs w:val="24"/>
          <w:highlight w:val="none"/>
          <w:lang w:val="en-US" w:eastAsia="zh-CN"/>
        </w:rPr>
        <w:t>且已通过年检，车辆配备卫星定位系统〈提供中标后接入江苏省阳光食堂信息化监管平台苏州模块承诺函〉和车厢内部视频监控）；</w:t>
      </w:r>
    </w:p>
    <w:p w14:paraId="1BA9851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lang w:val="en-US" w:eastAsia="zh-CN"/>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2.</w:t>
      </w:r>
      <w:r>
        <w:rPr>
          <w:rFonts w:hint="eastAsia" w:asciiTheme="minorEastAsia" w:hAnsiTheme="minorEastAsia" w:eastAsiaTheme="minorEastAsia" w:cstheme="minorEastAsia"/>
          <w:i w:val="0"/>
          <w:iCs w:val="0"/>
          <w:caps w:val="0"/>
          <w:color w:val="auto"/>
          <w:spacing w:val="0"/>
          <w:sz w:val="24"/>
          <w:szCs w:val="24"/>
          <w:highlight w:val="none"/>
          <w:lang w:val="en-US" w:eastAsia="zh-CN"/>
        </w:rPr>
        <w:t>具体的拟投入本项目配送的人员及人员相关材料：提供投标单位在报名截止时间前为其缴纳三个月及以上社保、有效健康证明及公安部门出具的无犯罪记录证明。</w:t>
      </w:r>
    </w:p>
    <w:p w14:paraId="0A4985C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pPr>
      <w:r>
        <w:rPr>
          <w:rFonts w:hint="eastAsia" w:asciiTheme="minorEastAsia" w:hAnsiTheme="minorEastAsia" w:eastAsiaTheme="minorEastAsia" w:cstheme="minorEastAsia"/>
          <w:i w:val="0"/>
          <w:iCs w:val="0"/>
          <w:caps w:val="0"/>
          <w:color w:val="auto"/>
          <w:spacing w:val="0"/>
          <w:sz w:val="24"/>
          <w:szCs w:val="24"/>
          <w:highlight w:val="none"/>
          <w:u w:val="single"/>
          <w:lang w:val="en-US" w:eastAsia="zh-CN"/>
        </w:rPr>
        <w:t>注：能力值界定。配送商能力值全市统一明确为：1能力值=1辆冷链车＋2位配送人员（含司机），车辆须为企业自有车辆，人员为企业的固定人员，并要求提供人员无犯罪及健康证明。</w:t>
      </w:r>
    </w:p>
    <w:p w14:paraId="5CADCB9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3.</w:t>
      </w:r>
      <w:r>
        <w:rPr>
          <w:rFonts w:hint="eastAsia" w:asciiTheme="minorEastAsia" w:hAnsiTheme="minorEastAsia" w:eastAsiaTheme="minorEastAsia" w:cstheme="minorEastAsia"/>
          <w:i w:val="0"/>
          <w:iCs w:val="0"/>
          <w:caps w:val="0"/>
          <w:color w:val="auto"/>
          <w:spacing w:val="0"/>
          <w:sz w:val="24"/>
          <w:szCs w:val="24"/>
          <w:highlight w:val="none"/>
          <w:lang w:val="en-US" w:eastAsia="zh-CN"/>
        </w:rPr>
        <w:t>竞价</w:t>
      </w: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单元体划设。综合考虑学校特点、地理位置等情况划设竞价单元体，并赋予每个竞价单元体对应的能力值，供应商能力值需服从全市统筹。</w:t>
      </w:r>
    </w:p>
    <w:p w14:paraId="26035E6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4.以上内容涉及后期项目评标，若投标文件中的数据低于现场查勘结论，则以投标文件为准；若投标文件中的数据高于现场查勘结论，则以现场查勘结论为准。</w:t>
      </w:r>
    </w:p>
    <w:p w14:paraId="1F1A2B3D">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val="0"/>
          <w:bCs w:val="0"/>
          <w:color w:val="auto"/>
          <w:spacing w:val="13"/>
          <w:kern w:val="0"/>
          <w:sz w:val="24"/>
          <w:szCs w:val="24"/>
          <w:highlight w:val="none"/>
          <w:lang w:val="en-US" w:eastAsia="zh-CN"/>
        </w:rPr>
      </w:pPr>
      <w:r>
        <w:rPr>
          <w:rFonts w:hint="eastAsia" w:asciiTheme="minorEastAsia" w:hAnsiTheme="minorEastAsia" w:eastAsiaTheme="minorEastAsia" w:cstheme="minorEastAsia"/>
          <w:b w:val="0"/>
          <w:bCs w:val="0"/>
          <w:color w:val="auto"/>
          <w:spacing w:val="13"/>
          <w:kern w:val="0"/>
          <w:sz w:val="24"/>
          <w:szCs w:val="24"/>
          <w:highlight w:val="none"/>
          <w:lang w:val="en-US" w:eastAsia="zh-CN"/>
        </w:rPr>
        <w:t>四、本项目报名及获取招标文件相关信息：</w:t>
      </w:r>
    </w:p>
    <w:p w14:paraId="1C74289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w:t>
      </w:r>
      <w:r>
        <w:rPr>
          <w:rFonts w:hint="eastAsia" w:asciiTheme="minorEastAsia" w:hAnsiTheme="minorEastAsia" w:eastAsiaTheme="minorEastAsia" w:cstheme="minorEastAsia"/>
          <w:kern w:val="2"/>
          <w:sz w:val="24"/>
          <w:szCs w:val="24"/>
          <w:highlight w:val="none"/>
          <w:lang w:val="en-US" w:eastAsia="zh-CN" w:bidi="ar-SA"/>
        </w:rPr>
        <w:t>报名方式：现场报名</w:t>
      </w:r>
    </w:p>
    <w:p w14:paraId="1EB67CC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2.</w:t>
      </w:r>
      <w:r>
        <w:rPr>
          <w:rFonts w:hint="eastAsia" w:asciiTheme="minorEastAsia" w:hAnsiTheme="minorEastAsia" w:eastAsiaTheme="minorEastAsia" w:cstheme="minorEastAsia"/>
          <w:kern w:val="2"/>
          <w:sz w:val="24"/>
          <w:szCs w:val="24"/>
          <w:highlight w:val="none"/>
          <w:lang w:val="en-US" w:eastAsia="zh-CN" w:bidi="ar-SA"/>
        </w:rPr>
        <w:t>报名所需材料：</w:t>
      </w:r>
    </w:p>
    <w:p w14:paraId="35329C5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2.1</w:t>
      </w:r>
      <w:r>
        <w:rPr>
          <w:rFonts w:hint="eastAsia" w:asciiTheme="minorEastAsia" w:hAnsiTheme="minorEastAsia" w:eastAsiaTheme="minorEastAsia" w:cstheme="minorEastAsia"/>
          <w:kern w:val="2"/>
          <w:sz w:val="24"/>
          <w:szCs w:val="24"/>
          <w:highlight w:val="none"/>
          <w:lang w:val="en-US" w:eastAsia="zh-CN" w:bidi="ar-SA"/>
        </w:rPr>
        <w:t>“资格审查材料”完整材料；</w:t>
      </w:r>
    </w:p>
    <w:p w14:paraId="144907B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2.2</w:t>
      </w:r>
      <w:r>
        <w:rPr>
          <w:rFonts w:hint="eastAsia" w:asciiTheme="minorEastAsia" w:hAnsiTheme="minorEastAsia" w:eastAsiaTheme="minorEastAsia" w:cstheme="minorEastAsia"/>
          <w:kern w:val="2"/>
          <w:sz w:val="24"/>
          <w:szCs w:val="24"/>
          <w:highlight w:val="none"/>
          <w:lang w:val="en-US" w:eastAsia="zh-CN" w:bidi="ar-SA"/>
        </w:rPr>
        <w:t>《资格审查表1－代理机构资格初审表》</w:t>
      </w:r>
    </w:p>
    <w:p w14:paraId="7C0397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2.3《</w:t>
      </w:r>
      <w:r>
        <w:rPr>
          <w:rFonts w:hint="eastAsia" w:asciiTheme="minorEastAsia" w:hAnsiTheme="minorEastAsia" w:eastAsiaTheme="minorEastAsia" w:cstheme="minorEastAsia"/>
          <w:kern w:val="2"/>
          <w:sz w:val="24"/>
          <w:szCs w:val="24"/>
          <w:highlight w:val="none"/>
          <w:lang w:val="en-US" w:eastAsia="zh-CN" w:bidi="ar-SA"/>
        </w:rPr>
        <w:t>资格审查表2-资格审查现场考察表》</w:t>
      </w:r>
    </w:p>
    <w:p w14:paraId="767C047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2.4《</w:t>
      </w:r>
      <w:r>
        <w:rPr>
          <w:rFonts w:hint="eastAsia" w:asciiTheme="minorEastAsia" w:hAnsiTheme="minorEastAsia" w:eastAsiaTheme="minorEastAsia" w:cstheme="minorEastAsia"/>
          <w:kern w:val="2"/>
          <w:sz w:val="24"/>
          <w:szCs w:val="24"/>
          <w:highlight w:val="none"/>
          <w:lang w:val="en-US" w:eastAsia="zh-CN" w:bidi="ar-SA"/>
        </w:rPr>
        <w:t>能力值审查表》现场提交至招标代理机构进行报名。</w:t>
      </w:r>
    </w:p>
    <w:p w14:paraId="5238A16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3.</w:t>
      </w:r>
      <w:r>
        <w:rPr>
          <w:rFonts w:hint="eastAsia" w:asciiTheme="minorEastAsia" w:hAnsiTheme="minorEastAsia" w:eastAsiaTheme="minorEastAsia" w:cstheme="minorEastAsia"/>
          <w:kern w:val="2"/>
          <w:sz w:val="24"/>
          <w:szCs w:val="24"/>
          <w:highlight w:val="none"/>
          <w:lang w:val="en-US" w:eastAsia="zh-CN" w:bidi="ar-SA"/>
        </w:rPr>
        <w:t>报名材料份数及装订要求</w:t>
      </w:r>
    </w:p>
    <w:p w14:paraId="3135D85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3.1</w:t>
      </w:r>
      <w:r>
        <w:rPr>
          <w:rFonts w:hint="eastAsia" w:asciiTheme="minorEastAsia" w:hAnsiTheme="minorEastAsia" w:eastAsiaTheme="minorEastAsia" w:cstheme="minorEastAsia"/>
          <w:b/>
          <w:bCs/>
          <w:kern w:val="2"/>
          <w:sz w:val="24"/>
          <w:szCs w:val="24"/>
          <w:highlight w:val="none"/>
          <w:lang w:val="en-US" w:eastAsia="zh-CN" w:bidi="ar-SA"/>
        </w:rPr>
        <w:t>纸质文件：贰份，</w:t>
      </w:r>
      <w:r>
        <w:rPr>
          <w:rFonts w:hint="eastAsia" w:asciiTheme="minorEastAsia" w:hAnsiTheme="minorEastAsia" w:eastAsiaTheme="minorEastAsia" w:cstheme="minorEastAsia"/>
          <w:kern w:val="2"/>
          <w:sz w:val="24"/>
          <w:szCs w:val="24"/>
          <w:highlight w:val="none"/>
          <w:lang w:val="en-US" w:eastAsia="zh-CN" w:bidi="ar-SA"/>
        </w:rPr>
        <w:t>要求装订成册，封面注明所投项目名称、项目编号注明、投标单位名称、联系人、联系电话、邮箱、联系地址等信息。</w:t>
      </w:r>
    </w:p>
    <w:p w14:paraId="250BC7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b/>
          <w:bCs/>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3.2</w:t>
      </w:r>
      <w:r>
        <w:rPr>
          <w:rFonts w:hint="eastAsia" w:asciiTheme="minorEastAsia" w:hAnsiTheme="minorEastAsia" w:eastAsiaTheme="minorEastAsia" w:cstheme="minorEastAsia"/>
          <w:b/>
          <w:bCs/>
          <w:kern w:val="2"/>
          <w:sz w:val="24"/>
          <w:szCs w:val="24"/>
          <w:highlight w:val="none"/>
          <w:lang w:val="zh-CN" w:eastAsia="zh-CN" w:bidi="ar-SA"/>
        </w:rPr>
        <w:t>电子文件：</w:t>
      </w:r>
      <w:r>
        <w:rPr>
          <w:rFonts w:hint="eastAsia" w:asciiTheme="minorEastAsia" w:hAnsiTheme="minorEastAsia" w:eastAsiaTheme="minorEastAsia" w:cstheme="minorEastAsia"/>
          <w:b/>
          <w:bCs/>
          <w:kern w:val="2"/>
          <w:sz w:val="24"/>
          <w:szCs w:val="24"/>
          <w:highlight w:val="none"/>
          <w:lang w:val="en-US" w:eastAsia="zh-CN" w:bidi="ar-SA"/>
        </w:rPr>
        <w:t>壹份（以U盘方式提交），</w:t>
      </w:r>
      <w:r>
        <w:rPr>
          <w:rFonts w:hint="eastAsia" w:asciiTheme="minorEastAsia" w:hAnsiTheme="minorEastAsia" w:eastAsiaTheme="minorEastAsia" w:cstheme="minorEastAsia"/>
          <w:b w:val="0"/>
          <w:bCs w:val="0"/>
          <w:kern w:val="2"/>
          <w:sz w:val="24"/>
          <w:szCs w:val="24"/>
          <w:highlight w:val="none"/>
          <w:lang w:val="en-US" w:eastAsia="zh-CN" w:bidi="ar-SA"/>
        </w:rPr>
        <w:t>电子文件须与纸本文件一致，为加盖电子章的PDF扫描件或为加盖鲜章的PDF扫描件，以U盘方式提交。</w:t>
      </w:r>
    </w:p>
    <w:p w14:paraId="03ECD99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4.</w:t>
      </w: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招标文件领取：招标代理机构对投标单位提交的书面预审材料进行初审，材料</w:t>
      </w:r>
      <w:r>
        <w:rPr>
          <w:rFonts w:hint="eastAsia" w:asciiTheme="minorEastAsia" w:hAnsiTheme="minorEastAsia" w:eastAsiaTheme="minorEastAsia" w:cstheme="minorEastAsia"/>
          <w:b w:val="0"/>
          <w:bCs w:val="0"/>
          <w:i w:val="0"/>
          <w:iCs w:val="0"/>
          <w:caps w:val="0"/>
          <w:color w:val="auto"/>
          <w:spacing w:val="0"/>
          <w:sz w:val="24"/>
          <w:szCs w:val="24"/>
          <w:highlight w:val="none"/>
          <w:lang w:val="en-US" w:eastAsia="zh-CN"/>
        </w:rPr>
        <w:t>符合初审要求</w:t>
      </w:r>
      <w:r>
        <w:rPr>
          <w:rFonts w:hint="eastAsia" w:asciiTheme="minorEastAsia" w:hAnsiTheme="minorEastAsia" w:eastAsiaTheme="minorEastAsia" w:cstheme="minorEastAsia"/>
          <w:kern w:val="2"/>
          <w:sz w:val="24"/>
          <w:szCs w:val="24"/>
          <w:highlight w:val="none"/>
          <w:lang w:val="en-US" w:eastAsia="zh-CN" w:bidi="ar-SA"/>
        </w:rPr>
        <w:t>即可领取招标文件。</w:t>
      </w:r>
    </w:p>
    <w:p w14:paraId="673654C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5.</w:t>
      </w: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报</w:t>
      </w:r>
      <w:r>
        <w:rPr>
          <w:rFonts w:hint="eastAsia" w:asciiTheme="minorEastAsia" w:hAnsiTheme="minorEastAsia" w:eastAsiaTheme="minorEastAsia" w:cstheme="minorEastAsia"/>
          <w:kern w:val="2"/>
          <w:sz w:val="24"/>
          <w:szCs w:val="24"/>
          <w:highlight w:val="none"/>
          <w:lang w:val="en-US" w:eastAsia="zh-CN" w:bidi="ar-SA"/>
        </w:rPr>
        <w:t>名费用：人民币1500元。</w:t>
      </w:r>
    </w:p>
    <w:p w14:paraId="0B9203B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6.</w:t>
      </w:r>
      <w:r>
        <w:rPr>
          <w:rFonts w:hint="eastAsia" w:asciiTheme="minorEastAsia" w:hAnsiTheme="minorEastAsia" w:eastAsiaTheme="minorEastAsia" w:cstheme="minorEastAsia"/>
          <w:kern w:val="2"/>
          <w:sz w:val="24"/>
          <w:szCs w:val="24"/>
          <w:highlight w:val="none"/>
          <w:lang w:val="en-US" w:eastAsia="zh-CN" w:bidi="ar-SA"/>
        </w:rPr>
        <w:t>报名时间：2026年7月14日至2026年7月21日上午09:00—11:00、14:00-17:00（周末及国家法定节假日除外）。</w:t>
      </w:r>
    </w:p>
    <w:p w14:paraId="1D4D836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7.</w:t>
      </w: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报</w:t>
      </w:r>
      <w:r>
        <w:rPr>
          <w:rFonts w:hint="eastAsia" w:asciiTheme="minorEastAsia" w:hAnsiTheme="minorEastAsia" w:eastAsiaTheme="minorEastAsia" w:cstheme="minorEastAsia"/>
          <w:kern w:val="2"/>
          <w:sz w:val="24"/>
          <w:szCs w:val="24"/>
          <w:highlight w:val="none"/>
          <w:lang w:val="en-US" w:eastAsia="zh-CN" w:bidi="ar-SA"/>
        </w:rPr>
        <w:t>名地点：苏州市金门路1072号苏州金门国际商业广场C区6楼（11/12号电梯直达）。</w:t>
      </w:r>
    </w:p>
    <w:p w14:paraId="637C53B8">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val="0"/>
          <w:bCs w:val="0"/>
          <w:color w:val="auto"/>
          <w:spacing w:val="13"/>
          <w:kern w:val="0"/>
          <w:sz w:val="24"/>
          <w:szCs w:val="24"/>
          <w:highlight w:val="none"/>
          <w:lang w:val="en-US" w:eastAsia="zh-CN"/>
        </w:rPr>
      </w:pPr>
      <w:r>
        <w:rPr>
          <w:rFonts w:hint="eastAsia" w:asciiTheme="minorEastAsia" w:hAnsiTheme="minorEastAsia" w:eastAsiaTheme="minorEastAsia" w:cstheme="minorEastAsia"/>
          <w:b w:val="0"/>
          <w:bCs w:val="0"/>
          <w:color w:val="auto"/>
          <w:spacing w:val="13"/>
          <w:kern w:val="0"/>
          <w:sz w:val="24"/>
          <w:szCs w:val="24"/>
          <w:highlight w:val="none"/>
          <w:lang w:val="en-US" w:eastAsia="zh-CN"/>
        </w:rPr>
        <w:t>五、投标和投标截止时间：</w:t>
      </w:r>
    </w:p>
    <w:p w14:paraId="6FA9E6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1.</w:t>
      </w:r>
      <w:r>
        <w:rPr>
          <w:rFonts w:hint="eastAsia" w:asciiTheme="minorEastAsia" w:hAnsiTheme="minorEastAsia" w:eastAsiaTheme="minorEastAsia" w:cstheme="minorEastAsia"/>
          <w:kern w:val="2"/>
          <w:sz w:val="24"/>
          <w:szCs w:val="24"/>
          <w:highlight w:val="none"/>
          <w:lang w:val="en-US" w:eastAsia="zh-CN" w:bidi="ar-SA"/>
        </w:rPr>
        <w:t>投标文件递交时间：2026年8月7日8:00-8:30</w:t>
      </w:r>
    </w:p>
    <w:p w14:paraId="53E05E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2.</w:t>
      </w:r>
      <w:r>
        <w:rPr>
          <w:rFonts w:hint="eastAsia" w:asciiTheme="minorEastAsia" w:hAnsiTheme="minorEastAsia" w:eastAsiaTheme="minorEastAsia" w:cstheme="minorEastAsia"/>
          <w:kern w:val="2"/>
          <w:sz w:val="24"/>
          <w:szCs w:val="24"/>
          <w:highlight w:val="none"/>
          <w:lang w:val="en-US" w:eastAsia="zh-CN" w:bidi="ar-SA"/>
        </w:rPr>
        <w:t>投标截止时间：2026年8月7日8:30</w:t>
      </w:r>
    </w:p>
    <w:p w14:paraId="3E36D88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3.</w:t>
      </w:r>
      <w:r>
        <w:rPr>
          <w:rFonts w:hint="eastAsia" w:asciiTheme="minorEastAsia" w:hAnsiTheme="minorEastAsia" w:eastAsiaTheme="minorEastAsia" w:cstheme="minorEastAsia"/>
          <w:kern w:val="2"/>
          <w:sz w:val="24"/>
          <w:szCs w:val="24"/>
          <w:highlight w:val="none"/>
          <w:lang w:val="en-US" w:eastAsia="zh-CN" w:bidi="ar-SA"/>
        </w:rPr>
        <w:t>开标时间：2026年8月7日9:00</w:t>
      </w:r>
    </w:p>
    <w:p w14:paraId="2E1978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4.</w:t>
      </w:r>
      <w:r>
        <w:rPr>
          <w:rFonts w:hint="eastAsia" w:asciiTheme="minorEastAsia" w:hAnsiTheme="minorEastAsia" w:eastAsiaTheme="minorEastAsia" w:cstheme="minorEastAsia"/>
          <w:kern w:val="2"/>
          <w:sz w:val="24"/>
          <w:szCs w:val="24"/>
          <w:highlight w:val="none"/>
          <w:lang w:val="en-US" w:eastAsia="zh-CN" w:bidi="ar-SA"/>
        </w:rPr>
        <w:t>开标地点：苏州市善耕实验小学校（正谊校区）苏州市姑苏区金光路与平润路交叉口东北160米</w:t>
      </w:r>
    </w:p>
    <w:p w14:paraId="4A4D0388">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val="0"/>
          <w:bCs w:val="0"/>
          <w:color w:val="auto"/>
          <w:spacing w:val="13"/>
          <w:kern w:val="0"/>
          <w:sz w:val="24"/>
          <w:szCs w:val="24"/>
          <w:highlight w:val="none"/>
          <w:lang w:val="en-US" w:eastAsia="zh-CN"/>
        </w:rPr>
      </w:pPr>
      <w:r>
        <w:rPr>
          <w:rFonts w:hint="eastAsia" w:asciiTheme="minorEastAsia" w:hAnsiTheme="minorEastAsia" w:eastAsiaTheme="minorEastAsia" w:cstheme="minorEastAsia"/>
          <w:b w:val="0"/>
          <w:bCs w:val="0"/>
          <w:color w:val="auto"/>
          <w:spacing w:val="13"/>
          <w:kern w:val="0"/>
          <w:sz w:val="24"/>
          <w:szCs w:val="24"/>
          <w:highlight w:val="none"/>
          <w:lang w:val="en-US" w:eastAsia="zh-CN"/>
        </w:rPr>
        <w:t>六、投标文件编制份数：</w:t>
      </w:r>
    </w:p>
    <w:p w14:paraId="2CFD165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1.</w:t>
      </w:r>
      <w:r>
        <w:rPr>
          <w:rFonts w:hint="eastAsia" w:asciiTheme="minorEastAsia" w:hAnsiTheme="minorEastAsia" w:eastAsiaTheme="minorEastAsia" w:cstheme="minorEastAsia"/>
          <w:kern w:val="2"/>
          <w:sz w:val="24"/>
          <w:szCs w:val="24"/>
          <w:highlight w:val="none"/>
          <w:lang w:val="en-US" w:eastAsia="zh-CN" w:bidi="ar-SA"/>
        </w:rPr>
        <w:t>纸本投标文件：肆份（正本壹份，副本叁份）</w:t>
      </w:r>
    </w:p>
    <w:p w14:paraId="3CA233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val="0"/>
          <w:bCs w:val="0"/>
          <w:kern w:val="2"/>
          <w:sz w:val="24"/>
          <w:szCs w:val="24"/>
          <w:highlight w:val="none"/>
          <w:lang w:val="en-US" w:eastAsia="zh-CN" w:bidi="ar-SA"/>
        </w:rPr>
        <w:t>2.</w:t>
      </w:r>
      <w:r>
        <w:rPr>
          <w:rFonts w:hint="eastAsia" w:asciiTheme="minorEastAsia" w:hAnsiTheme="minorEastAsia" w:eastAsiaTheme="minorEastAsia" w:cstheme="minorEastAsia"/>
          <w:kern w:val="2"/>
          <w:sz w:val="24"/>
          <w:szCs w:val="24"/>
          <w:highlight w:val="none"/>
          <w:lang w:val="zh-CN" w:eastAsia="zh-CN" w:bidi="ar-SA"/>
        </w:rPr>
        <w:t>电子</w:t>
      </w:r>
      <w:r>
        <w:rPr>
          <w:rFonts w:hint="eastAsia" w:asciiTheme="minorEastAsia" w:hAnsiTheme="minorEastAsia" w:eastAsiaTheme="minorEastAsia" w:cstheme="minorEastAsia"/>
          <w:kern w:val="2"/>
          <w:sz w:val="24"/>
          <w:szCs w:val="24"/>
          <w:highlight w:val="none"/>
          <w:lang w:val="en-US" w:eastAsia="zh-CN" w:bidi="ar-SA"/>
        </w:rPr>
        <w:t>投标</w:t>
      </w:r>
      <w:r>
        <w:rPr>
          <w:rFonts w:hint="eastAsia" w:asciiTheme="minorEastAsia" w:hAnsiTheme="minorEastAsia" w:eastAsiaTheme="minorEastAsia" w:cstheme="minorEastAsia"/>
          <w:kern w:val="2"/>
          <w:sz w:val="24"/>
          <w:szCs w:val="24"/>
          <w:highlight w:val="none"/>
          <w:lang w:val="zh-CN" w:eastAsia="zh-CN" w:bidi="ar-SA"/>
        </w:rPr>
        <w:t>文件：</w:t>
      </w:r>
      <w:r>
        <w:rPr>
          <w:rFonts w:hint="eastAsia" w:asciiTheme="minorEastAsia" w:hAnsiTheme="minorEastAsia" w:eastAsiaTheme="minorEastAsia" w:cstheme="minorEastAsia"/>
          <w:kern w:val="2"/>
          <w:sz w:val="24"/>
          <w:szCs w:val="24"/>
          <w:highlight w:val="none"/>
          <w:lang w:val="en-US" w:eastAsia="zh-CN" w:bidi="ar-SA"/>
        </w:rPr>
        <w:t>贰份</w:t>
      </w:r>
      <w:r>
        <w:rPr>
          <w:rFonts w:hint="eastAsia" w:asciiTheme="minorEastAsia" w:hAnsiTheme="minorEastAsia" w:eastAsiaTheme="minorEastAsia" w:cstheme="minorEastAsia"/>
          <w:b w:val="0"/>
          <w:bCs w:val="0"/>
          <w:i w:val="0"/>
          <w:iCs w:val="0"/>
          <w:caps w:val="0"/>
          <w:color w:val="auto"/>
          <w:spacing w:val="0"/>
          <w:sz w:val="24"/>
          <w:szCs w:val="24"/>
          <w:highlight w:val="none"/>
          <w:u w:val="none"/>
        </w:rPr>
        <w:t>（以U盘形式递交）</w:t>
      </w:r>
    </w:p>
    <w:p w14:paraId="40BD39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bCs/>
          <w:i w:val="0"/>
          <w:iCs w:val="0"/>
          <w:sz w:val="24"/>
          <w:szCs w:val="24"/>
          <w:highlight w:val="none"/>
          <w:u w:val="single"/>
          <w:lang w:val="en-US" w:eastAsia="zh-CN"/>
        </w:rPr>
        <w:t>注：</w:t>
      </w:r>
      <w:r>
        <w:rPr>
          <w:rFonts w:hint="eastAsia" w:asciiTheme="minorEastAsia" w:hAnsiTheme="minorEastAsia" w:eastAsiaTheme="minorEastAsia" w:cstheme="minorEastAsia"/>
          <w:b w:val="0"/>
          <w:bCs w:val="0"/>
          <w:i w:val="0"/>
          <w:iCs w:val="0"/>
          <w:sz w:val="24"/>
          <w:szCs w:val="24"/>
          <w:highlight w:val="none"/>
          <w:u w:val="single"/>
          <w:lang w:val="en-US" w:eastAsia="zh-CN"/>
        </w:rPr>
        <w:t>电子档投标文件应包含正本扫描件，且确保与纸质投标正本文件一致，U盘随投标文件一并递交（单独密封在信封内，U盘及信封需标明投标单位名称），投标单位应确保电子文档可以正常打开，否则一切责任由投标单位承担。</w:t>
      </w:r>
    </w:p>
    <w:p w14:paraId="5DE9B8BE">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val="0"/>
          <w:bCs w:val="0"/>
          <w:color w:val="auto"/>
          <w:spacing w:val="13"/>
          <w:kern w:val="0"/>
          <w:sz w:val="24"/>
          <w:szCs w:val="24"/>
          <w:highlight w:val="none"/>
          <w:lang w:val="en-US" w:eastAsia="zh-CN"/>
        </w:rPr>
      </w:pPr>
      <w:r>
        <w:rPr>
          <w:rFonts w:hint="eastAsia" w:asciiTheme="minorEastAsia" w:hAnsiTheme="minorEastAsia" w:eastAsiaTheme="minorEastAsia" w:cstheme="minorEastAsia"/>
          <w:b w:val="0"/>
          <w:bCs w:val="0"/>
          <w:color w:val="auto"/>
          <w:spacing w:val="13"/>
          <w:kern w:val="0"/>
          <w:sz w:val="24"/>
          <w:szCs w:val="24"/>
          <w:highlight w:val="none"/>
          <w:lang w:val="en-US" w:eastAsia="zh-CN"/>
        </w:rPr>
        <w:t>七、本次招标联系事项：</w:t>
      </w:r>
    </w:p>
    <w:p w14:paraId="2C50D63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b/>
          <w:bCs/>
          <w:kern w:val="2"/>
          <w:sz w:val="24"/>
          <w:szCs w:val="24"/>
          <w:highlight w:val="none"/>
          <w:lang w:val="en-US" w:eastAsia="zh-CN" w:bidi="ar-SA"/>
        </w:rPr>
      </w:pPr>
      <w:r>
        <w:rPr>
          <w:rFonts w:hint="eastAsia" w:asciiTheme="minorEastAsia" w:hAnsiTheme="minorEastAsia" w:eastAsiaTheme="minorEastAsia" w:cstheme="minorEastAsia"/>
          <w:b/>
          <w:bCs/>
          <w:kern w:val="2"/>
          <w:sz w:val="24"/>
          <w:szCs w:val="24"/>
          <w:highlight w:val="none"/>
          <w:lang w:val="en-US" w:eastAsia="zh-CN" w:bidi="ar-SA"/>
        </w:rPr>
        <w:t>1.招标人信息</w:t>
      </w:r>
    </w:p>
    <w:p w14:paraId="7DD573C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名    称：苏州市姑苏区教育体育和文化旅游委员会</w:t>
      </w:r>
    </w:p>
    <w:p w14:paraId="6910EA4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联系地址：苏州市姑苏区平川路510号</w:t>
      </w:r>
    </w:p>
    <w:p w14:paraId="17F8821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联 系 人：徐老师、姚老师。</w:t>
      </w:r>
    </w:p>
    <w:p w14:paraId="7644357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联系电话：0512-68728216 0512-68728114</w:t>
      </w:r>
    </w:p>
    <w:p w14:paraId="1141749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p>
    <w:p w14:paraId="5E3D1E4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2" w:firstLineChars="200"/>
        <w:jc w:val="both"/>
        <w:textAlignment w:val="auto"/>
        <w:rPr>
          <w:rFonts w:hint="eastAsia" w:asciiTheme="minorEastAsia" w:hAnsiTheme="minorEastAsia" w:eastAsiaTheme="minorEastAsia" w:cstheme="minorEastAsia"/>
          <w:b/>
          <w:bCs/>
          <w:kern w:val="2"/>
          <w:sz w:val="24"/>
          <w:szCs w:val="24"/>
          <w:highlight w:val="none"/>
          <w:lang w:val="en-US" w:eastAsia="zh-CN" w:bidi="ar-SA"/>
        </w:rPr>
      </w:pPr>
      <w:r>
        <w:rPr>
          <w:rFonts w:hint="eastAsia" w:asciiTheme="minorEastAsia" w:hAnsiTheme="minorEastAsia" w:eastAsiaTheme="minorEastAsia" w:cstheme="minorEastAsia"/>
          <w:b/>
          <w:bCs/>
          <w:i w:val="0"/>
          <w:iCs w:val="0"/>
          <w:caps w:val="0"/>
          <w:color w:val="auto"/>
          <w:spacing w:val="0"/>
          <w:kern w:val="0"/>
          <w:sz w:val="24"/>
          <w:szCs w:val="24"/>
          <w:highlight w:val="none"/>
          <w:lang w:val="en-US" w:eastAsia="zh-CN" w:bidi="ar-SA"/>
        </w:rPr>
        <w:t>2.</w:t>
      </w:r>
      <w:r>
        <w:rPr>
          <w:rFonts w:hint="eastAsia" w:asciiTheme="minorEastAsia" w:hAnsiTheme="minorEastAsia" w:eastAsiaTheme="minorEastAsia" w:cstheme="minorEastAsia"/>
          <w:b/>
          <w:bCs/>
          <w:kern w:val="2"/>
          <w:sz w:val="24"/>
          <w:szCs w:val="24"/>
          <w:highlight w:val="none"/>
          <w:lang w:val="en-US" w:eastAsia="zh-CN" w:bidi="ar-SA"/>
        </w:rPr>
        <w:t>招标代理机构信息</w:t>
      </w:r>
    </w:p>
    <w:p w14:paraId="40C05F2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名     称：苏州市诚源招投标代理有限公司</w:t>
      </w:r>
    </w:p>
    <w:p w14:paraId="47902E0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联系地址：苏州市金门路1072号苏州金门国际商业广场C区6楼（11/12号电梯直达）</w:t>
      </w:r>
    </w:p>
    <w:p w14:paraId="7D9A8D3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联 系 人：浦沁、金兰、杨莹</w:t>
      </w:r>
    </w:p>
    <w:p w14:paraId="2E0663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联系电话：0512-69228578</w:t>
      </w:r>
    </w:p>
    <w:p w14:paraId="7C5AD8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采购监管部门：姑苏区纪委监委第一派驻纪检监察组</w:t>
      </w:r>
    </w:p>
    <w:p w14:paraId="6C0669C5">
      <w:pPr>
        <w:keepNext w:val="0"/>
        <w:keepLines w:val="0"/>
        <w:pageBreakBefore w:val="0"/>
        <w:widowControl/>
        <w:numPr>
          <w:ilvl w:val="0"/>
          <w:numId w:val="0"/>
        </w:numPr>
        <w:tabs>
          <w:tab w:val="left" w:pos="840"/>
        </w:tabs>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val="0"/>
          <w:bCs w:val="0"/>
          <w:color w:val="auto"/>
          <w:spacing w:val="13"/>
          <w:kern w:val="0"/>
          <w:sz w:val="24"/>
          <w:szCs w:val="24"/>
          <w:highlight w:val="none"/>
          <w:lang w:val="en-US" w:eastAsia="zh-CN"/>
        </w:rPr>
      </w:pPr>
      <w:r>
        <w:rPr>
          <w:rFonts w:hint="eastAsia" w:asciiTheme="minorEastAsia" w:hAnsiTheme="minorEastAsia" w:eastAsiaTheme="minorEastAsia" w:cstheme="minorEastAsia"/>
          <w:b w:val="0"/>
          <w:bCs w:val="0"/>
          <w:color w:val="auto"/>
          <w:spacing w:val="13"/>
          <w:kern w:val="0"/>
          <w:sz w:val="24"/>
          <w:szCs w:val="24"/>
          <w:highlight w:val="none"/>
          <w:lang w:val="en-US" w:eastAsia="zh-CN"/>
        </w:rPr>
        <w:t>八、其他应说明事项：</w:t>
      </w:r>
    </w:p>
    <w:p w14:paraId="6079CE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1.</w:t>
      </w:r>
      <w:r>
        <w:rPr>
          <w:rFonts w:hint="eastAsia" w:asciiTheme="minorEastAsia" w:hAnsiTheme="minorEastAsia" w:eastAsiaTheme="minorEastAsia" w:cstheme="minorEastAsia"/>
          <w:kern w:val="2"/>
          <w:sz w:val="24"/>
          <w:szCs w:val="24"/>
          <w:highlight w:val="none"/>
          <w:lang w:val="en-US" w:eastAsia="zh-CN" w:bidi="ar-SA"/>
        </w:rPr>
        <w:t>本公告在中国招标投标公共服务平台、苏州市姑苏区人民政府官网及江苏省阳光食堂信息化监管平台苏州模块发布。</w:t>
      </w:r>
    </w:p>
    <w:p w14:paraId="309ADC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2.</w:t>
      </w:r>
      <w:r>
        <w:rPr>
          <w:rFonts w:hint="eastAsia" w:asciiTheme="minorEastAsia" w:hAnsiTheme="minorEastAsia" w:eastAsiaTheme="minorEastAsia" w:cstheme="minorEastAsia"/>
          <w:kern w:val="2"/>
          <w:sz w:val="24"/>
          <w:szCs w:val="24"/>
          <w:highlight w:val="none"/>
          <w:lang w:val="en-US" w:eastAsia="zh-CN" w:bidi="ar-SA"/>
        </w:rPr>
        <w:t>公告期限：自本公告发布之日起五个工作日。</w:t>
      </w:r>
    </w:p>
    <w:p w14:paraId="281136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3.</w:t>
      </w:r>
      <w:r>
        <w:rPr>
          <w:rFonts w:hint="eastAsia" w:asciiTheme="minorEastAsia" w:hAnsiTheme="minorEastAsia" w:eastAsiaTheme="minorEastAsia" w:cstheme="minorEastAsia"/>
          <w:kern w:val="2"/>
          <w:sz w:val="24"/>
          <w:szCs w:val="24"/>
          <w:highlight w:val="none"/>
          <w:lang w:val="en-US" w:eastAsia="zh-CN" w:bidi="ar-SA"/>
        </w:rPr>
        <w:t>特别说明</w:t>
      </w:r>
    </w:p>
    <w:p w14:paraId="349E6F8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i w:val="0"/>
          <w:iCs w:val="0"/>
          <w:caps w:val="0"/>
          <w:color w:val="auto"/>
          <w:spacing w:val="0"/>
          <w:kern w:val="0"/>
          <w:sz w:val="24"/>
          <w:szCs w:val="24"/>
          <w:highlight w:val="none"/>
          <w:lang w:val="en-US" w:eastAsia="zh-CN" w:bidi="ar-SA"/>
        </w:rPr>
        <w:t>3.1</w:t>
      </w:r>
      <w:r>
        <w:rPr>
          <w:rFonts w:hint="eastAsia" w:asciiTheme="minorEastAsia" w:hAnsiTheme="minorEastAsia" w:eastAsiaTheme="minorEastAsia" w:cstheme="minorEastAsia"/>
          <w:kern w:val="2"/>
          <w:sz w:val="24"/>
          <w:szCs w:val="24"/>
          <w:highlight w:val="none"/>
          <w:lang w:val="en-US" w:eastAsia="zh-CN" w:bidi="ar-SA"/>
        </w:rPr>
        <w:t>本项目需通过现场考察的方式进行资格审查，获取招标文件时间结束至开标前，招标人组织考察团队到报名成功供应商的生产或经营场所进行实地考察，考察时间另行通知。</w:t>
      </w:r>
    </w:p>
    <w:p w14:paraId="4E9E0ED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3.2本项目不属于依法必须招标的项目，也不属于政府采购项目，为招标人自愿采购项目，如有异议由招标人负责处理答复，投标人对答复不满意的，可申请在专家库中随机抽取3名专家进行裁决。裁决只进行一次，招标人和投标人必须服从专家组的裁决意见。潜在投标人报名参与本项目则视为同意上述内容。</w:t>
      </w:r>
    </w:p>
    <w:p w14:paraId="6228B07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480" w:firstLineChars="20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3.3本招标文件适用于2026-2027学年苏州市姑苏区中小学、幼儿园“阳光食堂”生鲜食材配送项目公开招标采购。由姑苏区中小学、幼儿园食堂食材采购联合体负责制定，苏州市姑苏区中小学（幼儿园）“阳光食堂”生鲜食材配送项目招标工作组进行监督指导。</w:t>
      </w:r>
    </w:p>
    <w:p w14:paraId="1F0EAF72">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both"/>
        <w:textAlignment w:val="auto"/>
        <w:outlineLvl w:val="1"/>
        <w:rPr>
          <w:rFonts w:hint="eastAsia" w:asciiTheme="minorEastAsia" w:hAnsiTheme="minorEastAsia" w:eastAsiaTheme="minorEastAsia" w:cstheme="minorEastAsia"/>
          <w:kern w:val="2"/>
          <w:sz w:val="24"/>
          <w:szCs w:val="24"/>
          <w:highlight w:val="none"/>
          <w:lang w:val="en-US" w:eastAsia="zh-CN" w:bidi="ar-SA"/>
        </w:rPr>
      </w:pPr>
    </w:p>
    <w:p w14:paraId="5D9FA85D">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right"/>
        <w:textAlignment w:val="auto"/>
        <w:outlineLvl w:val="1"/>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苏州市诚源招投标代理有限公司</w:t>
      </w:r>
    </w:p>
    <w:p w14:paraId="0B444F22">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right"/>
        <w:textAlignment w:val="auto"/>
        <w:outlineLvl w:val="1"/>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2026年7月14日</w:t>
      </w:r>
    </w:p>
    <w:p w14:paraId="6E909361">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both"/>
        <w:textAlignment w:val="auto"/>
        <w:outlineLvl w:val="1"/>
        <w:rPr>
          <w:rFonts w:hint="eastAsia" w:ascii="宋体" w:hAnsi="宋体" w:eastAsia="宋体" w:cs="宋体"/>
          <w:b/>
          <w:bCs/>
          <w:i w:val="0"/>
          <w:iCs w:val="0"/>
          <w:color w:val="auto"/>
          <w:spacing w:val="0"/>
          <w:kern w:val="0"/>
          <w:sz w:val="24"/>
          <w:szCs w:val="24"/>
          <w:highlight w:val="none"/>
          <w:lang w:val="en-US" w:eastAsia="zh-CN" w:bidi="ar-SA"/>
        </w:rPr>
      </w:pPr>
      <w:r>
        <w:rPr>
          <w:rFonts w:hint="eastAsia" w:ascii="宋体" w:hAnsi="宋体" w:eastAsia="宋体" w:cs="宋体"/>
          <w:b/>
          <w:bCs/>
          <w:i w:val="0"/>
          <w:iCs w:val="0"/>
          <w:color w:val="auto"/>
          <w:spacing w:val="0"/>
          <w:kern w:val="0"/>
          <w:sz w:val="24"/>
          <w:szCs w:val="24"/>
          <w:highlight w:val="none"/>
          <w:lang w:val="en-US" w:eastAsia="zh-CN" w:bidi="ar-SA"/>
        </w:rPr>
        <w:br w:type="page"/>
      </w:r>
      <w:r>
        <w:rPr>
          <w:rFonts w:hint="eastAsia" w:ascii="宋体" w:hAnsi="宋体" w:eastAsia="宋体" w:cs="宋体"/>
          <w:b/>
          <w:bCs/>
          <w:i w:val="0"/>
          <w:iCs w:val="0"/>
          <w:color w:val="auto"/>
          <w:spacing w:val="0"/>
          <w:kern w:val="0"/>
          <w:sz w:val="24"/>
          <w:szCs w:val="24"/>
          <w:highlight w:val="none"/>
          <w:lang w:val="en-US" w:eastAsia="zh-CN" w:bidi="ar-SA"/>
        </w:rPr>
        <w:t>附件1：</w:t>
      </w:r>
    </w:p>
    <w:p w14:paraId="5C6D5D81">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宋体" w:hAnsi="宋体" w:eastAsia="宋体" w:cs="宋体"/>
          <w:b/>
          <w:bCs/>
          <w:i w:val="0"/>
          <w:iCs w:val="0"/>
          <w:color w:val="auto"/>
          <w:spacing w:val="0"/>
          <w:kern w:val="0"/>
          <w:sz w:val="28"/>
          <w:szCs w:val="28"/>
          <w:highlight w:val="none"/>
          <w:lang w:val="en-US" w:eastAsia="zh-CN" w:bidi="ar-SA"/>
        </w:rPr>
      </w:pPr>
      <w:r>
        <w:rPr>
          <w:rFonts w:hint="eastAsia" w:ascii="宋体" w:hAnsi="宋体" w:eastAsia="宋体" w:cs="宋体"/>
          <w:b/>
          <w:bCs/>
          <w:i w:val="0"/>
          <w:iCs w:val="0"/>
          <w:color w:val="auto"/>
          <w:spacing w:val="0"/>
          <w:kern w:val="0"/>
          <w:sz w:val="28"/>
          <w:szCs w:val="28"/>
          <w:highlight w:val="none"/>
          <w:lang w:val="en-US" w:eastAsia="zh-CN" w:bidi="ar-SA"/>
        </w:rPr>
        <w:t>资格审查及能力值审查</w:t>
      </w:r>
    </w:p>
    <w:p w14:paraId="46D25437">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宋体" w:hAnsi="宋体" w:eastAsia="宋体" w:cs="宋体"/>
          <w:b/>
          <w:bCs/>
          <w:i w:val="0"/>
          <w:iCs w:val="0"/>
          <w:color w:val="auto"/>
          <w:spacing w:val="0"/>
          <w:kern w:val="0"/>
          <w:sz w:val="28"/>
          <w:szCs w:val="28"/>
          <w:highlight w:val="none"/>
          <w:lang w:val="en-US" w:eastAsia="zh-CN" w:bidi="ar-SA"/>
        </w:rPr>
      </w:pPr>
    </w:p>
    <w:p w14:paraId="2D5A8D9F">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宋体" w:hAnsi="宋体" w:eastAsia="宋体" w:cs="宋体"/>
          <w:b/>
          <w:bCs/>
          <w:i w:val="0"/>
          <w:iCs w:val="0"/>
          <w:color w:val="auto"/>
          <w:spacing w:val="0"/>
          <w:kern w:val="0"/>
          <w:sz w:val="28"/>
          <w:szCs w:val="28"/>
          <w:highlight w:val="none"/>
          <w:lang w:val="en-US" w:eastAsia="zh-CN" w:bidi="ar-SA"/>
        </w:rPr>
      </w:pPr>
      <w:r>
        <w:rPr>
          <w:rFonts w:hint="eastAsia" w:ascii="宋体" w:hAnsi="宋体" w:eastAsia="宋体" w:cs="宋体"/>
          <w:b/>
          <w:bCs/>
          <w:i w:val="0"/>
          <w:iCs w:val="0"/>
          <w:color w:val="auto"/>
          <w:spacing w:val="0"/>
          <w:kern w:val="0"/>
          <w:sz w:val="28"/>
          <w:szCs w:val="28"/>
          <w:highlight w:val="none"/>
          <w:lang w:val="en-US" w:eastAsia="zh-CN" w:bidi="ar-SA"/>
        </w:rPr>
        <w:t>资格审查表1－代理机构资格初审表</w:t>
      </w:r>
    </w:p>
    <w:p w14:paraId="6B92DAFD">
      <w:pPr>
        <w:pStyle w:val="9"/>
        <w:ind w:left="0" w:leftChars="0" w:firstLine="0" w:firstLineChars="0"/>
        <w:rPr>
          <w:rFonts w:hint="eastAsia" w:ascii="宋体" w:hAnsi="宋体" w:eastAsia="宋体" w:cs="宋体"/>
          <w:b/>
          <w:bCs/>
          <w:i w:val="0"/>
          <w:iCs w:val="0"/>
          <w:caps w:val="0"/>
          <w:color w:val="auto"/>
          <w:spacing w:val="0"/>
          <w:kern w:val="2"/>
          <w:sz w:val="24"/>
          <w:szCs w:val="24"/>
          <w:highlight w:val="none"/>
          <w:lang w:val="en-US" w:eastAsia="zh-CN" w:bidi="ar-SA"/>
        </w:rPr>
      </w:pPr>
      <w:r>
        <w:rPr>
          <w:rFonts w:hint="eastAsia" w:ascii="宋体" w:hAnsi="宋体" w:eastAsia="宋体" w:cs="宋体"/>
          <w:b/>
          <w:bCs/>
          <w:i w:val="0"/>
          <w:iCs w:val="0"/>
          <w:caps w:val="0"/>
          <w:color w:val="auto"/>
          <w:spacing w:val="0"/>
          <w:kern w:val="2"/>
          <w:sz w:val="24"/>
          <w:szCs w:val="24"/>
          <w:highlight w:val="none"/>
          <w:lang w:val="en-US" w:eastAsia="zh-CN" w:bidi="ar-SA"/>
        </w:rPr>
        <w:t>投标供应商名称：</w:t>
      </w:r>
    </w:p>
    <w:tbl>
      <w:tblPr>
        <w:tblStyle w:val="7"/>
        <w:tblW w:w="91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969"/>
        <w:gridCol w:w="4929"/>
        <w:gridCol w:w="1389"/>
      </w:tblGrid>
      <w:tr w14:paraId="7E89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05" w:type="dxa"/>
            <w:noWrap w:val="0"/>
            <w:vAlign w:val="center"/>
          </w:tcPr>
          <w:p w14:paraId="4E3D7CCA">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序号</w:t>
            </w:r>
          </w:p>
        </w:tc>
        <w:tc>
          <w:tcPr>
            <w:tcW w:w="1969" w:type="dxa"/>
            <w:noWrap w:val="0"/>
            <w:vAlign w:val="center"/>
          </w:tcPr>
          <w:p w14:paraId="1053E2B8">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zh-CN" w:eastAsia="zh-CN"/>
              </w:rPr>
              <w:t>投标供应商资格条件、自填信息</w:t>
            </w:r>
          </w:p>
        </w:tc>
        <w:tc>
          <w:tcPr>
            <w:tcW w:w="4929" w:type="dxa"/>
            <w:noWrap w:val="0"/>
            <w:vAlign w:val="center"/>
          </w:tcPr>
          <w:p w14:paraId="1D8598D5">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审查内容及方式</w:t>
            </w:r>
          </w:p>
        </w:tc>
        <w:tc>
          <w:tcPr>
            <w:tcW w:w="1389" w:type="dxa"/>
            <w:noWrap w:val="0"/>
            <w:vAlign w:val="center"/>
          </w:tcPr>
          <w:p w14:paraId="776DF322">
            <w:pPr>
              <w:keepNext w:val="0"/>
              <w:keepLines w:val="0"/>
              <w:suppressLineNumbers w:val="0"/>
              <w:spacing w:before="0" w:beforeAutospacing="0" w:after="0" w:afterAutospacing="0" w:line="360" w:lineRule="auto"/>
              <w:ind w:left="0" w:right="0"/>
              <w:jc w:val="center"/>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审查情况</w:t>
            </w:r>
          </w:p>
        </w:tc>
      </w:tr>
      <w:tr w14:paraId="506E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905" w:type="dxa"/>
            <w:noWrap w:val="0"/>
            <w:vAlign w:val="center"/>
          </w:tcPr>
          <w:p w14:paraId="3F36183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1969" w:type="dxa"/>
            <w:noWrap w:val="0"/>
            <w:vAlign w:val="center"/>
          </w:tcPr>
          <w:p w14:paraId="26256297">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bidi="ar"/>
              </w:rPr>
              <w:t>具有良好的商业信誉和健全的财务会计制度</w:t>
            </w:r>
            <w:r>
              <w:rPr>
                <w:rFonts w:hint="eastAsia" w:ascii="宋体" w:hAnsi="宋体" w:eastAsia="宋体" w:cs="宋体"/>
                <w:color w:val="auto"/>
                <w:sz w:val="24"/>
                <w:szCs w:val="24"/>
                <w:highlight w:val="none"/>
                <w:lang w:eastAsia="zh-CN" w:bidi="ar"/>
              </w:rPr>
              <w:t>。</w:t>
            </w:r>
          </w:p>
        </w:tc>
        <w:tc>
          <w:tcPr>
            <w:tcW w:w="4929" w:type="dxa"/>
            <w:noWrap w:val="0"/>
            <w:vAlign w:val="center"/>
          </w:tcPr>
          <w:p w14:paraId="03B38DF8">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审查内容：</w:t>
            </w:r>
            <w:r>
              <w:rPr>
                <w:rFonts w:hint="eastAsia" w:ascii="宋体" w:hAnsi="宋体" w:eastAsia="宋体" w:cs="宋体"/>
                <w:color w:val="auto"/>
                <w:sz w:val="24"/>
                <w:szCs w:val="24"/>
                <w:highlight w:val="none"/>
                <w:lang w:bidi="ar"/>
              </w:rPr>
              <w:t>提供参加本次</w:t>
            </w:r>
            <w:r>
              <w:rPr>
                <w:rFonts w:hint="eastAsia" w:ascii="宋体" w:hAnsi="宋体" w:eastAsia="宋体" w:cs="宋体"/>
                <w:color w:val="auto"/>
                <w:sz w:val="24"/>
                <w:szCs w:val="24"/>
                <w:highlight w:val="none"/>
                <w:lang w:eastAsia="zh-CN" w:bidi="ar"/>
              </w:rPr>
              <w:t>招标活动</w:t>
            </w:r>
            <w:r>
              <w:rPr>
                <w:rFonts w:hint="eastAsia" w:ascii="宋体" w:hAnsi="宋体" w:eastAsia="宋体" w:cs="宋体"/>
                <w:color w:val="auto"/>
                <w:sz w:val="24"/>
                <w:szCs w:val="24"/>
                <w:highlight w:val="none"/>
                <w:lang w:bidi="ar"/>
              </w:rPr>
              <w:t>上年度的审计报告或提供</w:t>
            </w:r>
            <w:r>
              <w:rPr>
                <w:rFonts w:hint="eastAsia" w:ascii="宋体" w:hAnsi="宋体" w:eastAsia="宋体" w:cs="宋体"/>
                <w:color w:val="auto"/>
                <w:sz w:val="24"/>
                <w:szCs w:val="24"/>
                <w:highlight w:val="none"/>
                <w:lang w:val="en-US" w:eastAsia="zh-CN" w:bidi="ar"/>
              </w:rPr>
              <w:t>报名截止前三个月内任意时间</w:t>
            </w:r>
            <w:r>
              <w:rPr>
                <w:rFonts w:hint="eastAsia" w:ascii="宋体" w:hAnsi="宋体" w:eastAsia="宋体" w:cs="宋体"/>
                <w:color w:val="auto"/>
                <w:sz w:val="24"/>
                <w:szCs w:val="24"/>
                <w:highlight w:val="none"/>
                <w:lang w:bidi="ar"/>
              </w:rPr>
              <w:t>银行资信证明</w:t>
            </w:r>
          </w:p>
        </w:tc>
        <w:tc>
          <w:tcPr>
            <w:tcW w:w="1389" w:type="dxa"/>
            <w:noWrap w:val="0"/>
            <w:vAlign w:val="center"/>
          </w:tcPr>
          <w:p w14:paraId="5C181E61">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口符合</w:t>
            </w:r>
          </w:p>
          <w:p w14:paraId="03840D58">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口不符合</w:t>
            </w:r>
          </w:p>
        </w:tc>
      </w:tr>
      <w:tr w14:paraId="4218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905" w:type="dxa"/>
            <w:noWrap w:val="0"/>
            <w:vAlign w:val="center"/>
          </w:tcPr>
          <w:p w14:paraId="21F1E408">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w:t>
            </w:r>
          </w:p>
        </w:tc>
        <w:tc>
          <w:tcPr>
            <w:tcW w:w="1969" w:type="dxa"/>
            <w:noWrap w:val="0"/>
            <w:vAlign w:val="center"/>
          </w:tcPr>
          <w:p w14:paraId="3DA2D96E">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bidi="ar"/>
              </w:rPr>
              <w:t>具有依法缴纳税收和社会保障资金的良好记录；</w:t>
            </w:r>
          </w:p>
        </w:tc>
        <w:tc>
          <w:tcPr>
            <w:tcW w:w="4929" w:type="dxa"/>
            <w:noWrap w:val="0"/>
            <w:vAlign w:val="center"/>
          </w:tcPr>
          <w:p w14:paraId="46020BF2">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审查内容：</w:t>
            </w:r>
            <w:r>
              <w:rPr>
                <w:rFonts w:hint="eastAsia" w:ascii="宋体" w:hAnsi="宋体" w:eastAsia="宋体" w:cs="宋体"/>
                <w:color w:val="auto"/>
                <w:sz w:val="24"/>
                <w:szCs w:val="24"/>
                <w:highlight w:val="none"/>
                <w:lang w:bidi="ar"/>
              </w:rPr>
              <w:t>提供</w:t>
            </w:r>
            <w:r>
              <w:rPr>
                <w:rFonts w:hint="eastAsia" w:ascii="宋体" w:hAnsi="宋体" w:eastAsia="宋体" w:cs="宋体"/>
                <w:color w:val="auto"/>
                <w:sz w:val="24"/>
                <w:szCs w:val="24"/>
                <w:highlight w:val="none"/>
                <w:lang w:eastAsia="zh-CN" w:bidi="ar"/>
              </w:rPr>
              <w:t>承诺函</w:t>
            </w:r>
            <w:r>
              <w:rPr>
                <w:rFonts w:hint="eastAsia" w:ascii="宋体" w:hAnsi="宋体" w:eastAsia="宋体" w:cs="宋体"/>
                <w:color w:val="auto"/>
                <w:sz w:val="24"/>
                <w:szCs w:val="24"/>
                <w:highlight w:val="none"/>
                <w:lang w:bidi="ar"/>
              </w:rPr>
              <w:t>及参加本次</w:t>
            </w:r>
            <w:r>
              <w:rPr>
                <w:rFonts w:hint="eastAsia" w:ascii="宋体" w:hAnsi="宋体" w:eastAsia="宋体" w:cs="宋体"/>
                <w:color w:val="auto"/>
                <w:sz w:val="24"/>
                <w:szCs w:val="24"/>
                <w:highlight w:val="none"/>
                <w:lang w:eastAsia="zh-CN" w:bidi="ar"/>
              </w:rPr>
              <w:t>招标活动</w:t>
            </w:r>
            <w:r>
              <w:rPr>
                <w:rFonts w:hint="eastAsia" w:ascii="宋体" w:hAnsi="宋体" w:eastAsia="宋体" w:cs="宋体"/>
                <w:color w:val="auto"/>
                <w:sz w:val="24"/>
                <w:szCs w:val="24"/>
                <w:highlight w:val="none"/>
                <w:lang w:bidi="ar"/>
              </w:rPr>
              <w:t>前一年内至少三个月依法缴纳税收（如申报表/税票/缴款书）和社会保障资金（如申报表/缴款书）的有效证明材料</w:t>
            </w:r>
          </w:p>
        </w:tc>
        <w:tc>
          <w:tcPr>
            <w:tcW w:w="1389" w:type="dxa"/>
            <w:noWrap w:val="0"/>
            <w:vAlign w:val="center"/>
          </w:tcPr>
          <w:p w14:paraId="5ECA71A6">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口符合</w:t>
            </w:r>
          </w:p>
          <w:p w14:paraId="2813AF9C">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口不符合</w:t>
            </w:r>
          </w:p>
        </w:tc>
      </w:tr>
      <w:tr w14:paraId="215A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5" w:hRule="atLeast"/>
          <w:jc w:val="center"/>
        </w:trPr>
        <w:tc>
          <w:tcPr>
            <w:tcW w:w="905" w:type="dxa"/>
            <w:noWrap w:val="0"/>
            <w:vAlign w:val="center"/>
          </w:tcPr>
          <w:p w14:paraId="4A57CDCD">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w:t>
            </w:r>
          </w:p>
        </w:tc>
        <w:tc>
          <w:tcPr>
            <w:tcW w:w="1969" w:type="dxa"/>
            <w:noWrap w:val="0"/>
            <w:vAlign w:val="center"/>
          </w:tcPr>
          <w:p w14:paraId="048B5C96">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val="en-US" w:eastAsia="zh-CN" w:bidi="ar"/>
              </w:rPr>
              <w:t>其他特殊要求</w:t>
            </w:r>
          </w:p>
        </w:tc>
        <w:tc>
          <w:tcPr>
            <w:tcW w:w="4929" w:type="dxa"/>
            <w:noWrap w:val="0"/>
            <w:vAlign w:val="center"/>
          </w:tcPr>
          <w:p w14:paraId="68E5A78B">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审查内容：投标单位参加本次招标活动前两年内（报名截止前）无食品安全较大数额（≥5万元）行政处罚（提供承诺函）；在国家市场监督管理总局食品安全抽检公布结果查询系统（https://spcjsac.gsxt.gov.cn/）参加本次招标活动前三年内（报名截止前）无抽检不合格批次证明、农业农村部门的食用农产品监督抽检信息证明（提供证明材料或承诺函）；未被“信用中国”网站（www.creditchina.gov.cn）列入失信执行人、重大税收违法案件当事人名单、严重违法失信行为记录名单（提供信用中国网站的信用报告）；（</w:t>
            </w:r>
            <w:r>
              <w:rPr>
                <w:rFonts w:hint="eastAsia" w:ascii="宋体" w:hAnsi="宋体" w:eastAsia="宋体" w:cs="宋体"/>
                <w:b/>
                <w:bCs/>
                <w:color w:val="auto"/>
                <w:sz w:val="24"/>
                <w:szCs w:val="24"/>
                <w:highlight w:val="none"/>
                <w:lang w:val="en-US" w:eastAsia="zh-CN" w:bidi="ar"/>
              </w:rPr>
              <w:t>若投标人承诺不属实，一经查实将取消投标资格或入选候选资格，由此产生的损失由失信投标人自行承担）</w:t>
            </w:r>
          </w:p>
        </w:tc>
        <w:tc>
          <w:tcPr>
            <w:tcW w:w="1389" w:type="dxa"/>
            <w:noWrap w:val="0"/>
            <w:vAlign w:val="center"/>
          </w:tcPr>
          <w:p w14:paraId="1DFCA68A">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口符合</w:t>
            </w:r>
          </w:p>
          <w:p w14:paraId="10D0A509">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口不符合</w:t>
            </w:r>
          </w:p>
        </w:tc>
      </w:tr>
      <w:tr w14:paraId="130A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905" w:type="dxa"/>
            <w:noWrap w:val="0"/>
            <w:vAlign w:val="center"/>
          </w:tcPr>
          <w:p w14:paraId="7486E24A">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w:t>
            </w:r>
          </w:p>
        </w:tc>
        <w:tc>
          <w:tcPr>
            <w:tcW w:w="1969" w:type="dxa"/>
            <w:noWrap w:val="0"/>
            <w:vAlign w:val="center"/>
          </w:tcPr>
          <w:p w14:paraId="1B87769F">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w:t>
            </w:r>
            <w:r>
              <w:rPr>
                <w:rFonts w:hint="eastAsia" w:ascii="宋体" w:hAnsi="宋体" w:eastAsia="宋体" w:cs="宋体"/>
                <w:color w:val="auto"/>
                <w:sz w:val="24"/>
                <w:szCs w:val="24"/>
                <w:highlight w:val="none"/>
                <w:lang w:bidi="ar"/>
              </w:rPr>
              <w:t>法律、行政法规规定的其他条件</w:t>
            </w:r>
          </w:p>
        </w:tc>
        <w:tc>
          <w:tcPr>
            <w:tcW w:w="4929" w:type="dxa"/>
            <w:noWrap w:val="0"/>
            <w:vAlign w:val="center"/>
          </w:tcPr>
          <w:p w14:paraId="0818D3AE">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提供承诺函</w:t>
            </w:r>
          </w:p>
        </w:tc>
        <w:tc>
          <w:tcPr>
            <w:tcW w:w="1389" w:type="dxa"/>
            <w:noWrap w:val="0"/>
            <w:vAlign w:val="center"/>
          </w:tcPr>
          <w:p w14:paraId="6D064570">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zh-CN" w:eastAsia="zh-CN" w:bidi="ar"/>
              </w:rPr>
            </w:pPr>
            <w:r>
              <w:rPr>
                <w:rFonts w:hint="eastAsia" w:ascii="宋体" w:hAnsi="宋体" w:eastAsia="宋体" w:cs="宋体"/>
                <w:color w:val="auto"/>
                <w:sz w:val="24"/>
                <w:szCs w:val="24"/>
                <w:highlight w:val="none"/>
                <w:lang w:val="zh-CN" w:eastAsia="zh-CN" w:bidi="ar"/>
              </w:rPr>
              <w:t>口符合</w:t>
            </w:r>
          </w:p>
          <w:p w14:paraId="2A29C7C8">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zh-CN" w:eastAsia="zh-CN" w:bidi="ar"/>
              </w:rPr>
              <w:t>口不符合</w:t>
            </w:r>
          </w:p>
        </w:tc>
      </w:tr>
    </w:tbl>
    <w:p w14:paraId="4B145E63">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480" w:right="0" w:rightChars="0" w:hanging="480" w:hangingChars="200"/>
        <w:jc w:val="both"/>
        <w:textAlignment w:val="auto"/>
        <w:rPr>
          <w:rFonts w:hint="eastAsia" w:ascii="宋体" w:hAnsi="宋体" w:eastAsia="宋体" w:cs="宋体"/>
          <w:i w:val="0"/>
          <w:iCs w:val="0"/>
          <w:color w:val="auto"/>
          <w:spacing w:val="0"/>
          <w:sz w:val="24"/>
          <w:szCs w:val="24"/>
          <w:highlight w:val="none"/>
          <w:u w:val="single"/>
          <w:lang w:val="en-US" w:eastAsia="zh-CN"/>
        </w:rPr>
      </w:pPr>
    </w:p>
    <w:p w14:paraId="77FF44F2">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480" w:right="0" w:rightChars="0" w:hanging="480" w:hangingChars="200"/>
        <w:jc w:val="both"/>
        <w:textAlignment w:val="auto"/>
        <w:rPr>
          <w:rFonts w:hint="eastAsia" w:ascii="宋体" w:hAnsi="宋体" w:eastAsia="宋体" w:cs="宋体"/>
          <w:i w:val="0"/>
          <w:iCs w:val="0"/>
          <w:color w:val="auto"/>
          <w:spacing w:val="0"/>
          <w:sz w:val="24"/>
          <w:szCs w:val="24"/>
          <w:highlight w:val="none"/>
          <w:u w:val="single"/>
          <w:lang w:val="en-US" w:eastAsia="zh-CN"/>
        </w:rPr>
      </w:pPr>
    </w:p>
    <w:p w14:paraId="7E82678C">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723" w:right="0" w:rightChars="0" w:hanging="723" w:hangingChars="300"/>
        <w:jc w:val="both"/>
        <w:textAlignment w:val="auto"/>
        <w:rPr>
          <w:rFonts w:hint="eastAsia" w:ascii="宋体" w:hAnsi="宋体" w:eastAsia="宋体" w:cs="宋体"/>
          <w:i w:val="0"/>
          <w:iCs w:val="0"/>
          <w:color w:val="auto"/>
          <w:spacing w:val="0"/>
          <w:sz w:val="24"/>
          <w:szCs w:val="24"/>
          <w:highlight w:val="none"/>
          <w:u w:val="single"/>
          <w:lang w:val="en-US" w:eastAsia="zh-CN"/>
        </w:rPr>
      </w:pPr>
      <w:r>
        <w:rPr>
          <w:rFonts w:hint="eastAsia" w:ascii="宋体" w:hAnsi="宋体" w:eastAsia="宋体" w:cs="宋体"/>
          <w:b/>
          <w:bCs/>
          <w:i w:val="0"/>
          <w:iCs w:val="0"/>
          <w:color w:val="auto"/>
          <w:spacing w:val="0"/>
          <w:sz w:val="24"/>
          <w:szCs w:val="24"/>
          <w:highlight w:val="none"/>
          <w:u w:val="single"/>
          <w:lang w:val="en-US" w:eastAsia="zh-CN"/>
        </w:rPr>
        <w:t>注：</w:t>
      </w:r>
      <w:r>
        <w:rPr>
          <w:rFonts w:hint="eastAsia" w:ascii="宋体" w:hAnsi="宋体" w:eastAsia="宋体" w:cs="宋体"/>
          <w:i w:val="0"/>
          <w:iCs w:val="0"/>
          <w:color w:val="auto"/>
          <w:spacing w:val="0"/>
          <w:sz w:val="24"/>
          <w:szCs w:val="24"/>
          <w:highlight w:val="none"/>
          <w:u w:val="single"/>
          <w:lang w:val="en-US" w:eastAsia="zh-CN"/>
        </w:rPr>
        <w:t>1.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41FC3B70">
      <w:pPr>
        <w:pStyle w:val="3"/>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b/>
          <w:bCs/>
          <w:i w:val="0"/>
          <w:iCs w:val="0"/>
          <w:color w:val="auto"/>
          <w:spacing w:val="0"/>
          <w:sz w:val="24"/>
          <w:szCs w:val="24"/>
          <w:highlight w:val="none"/>
          <w:lang w:val="en-US" w:eastAsia="zh-CN"/>
        </w:rPr>
      </w:pPr>
      <w:r>
        <w:rPr>
          <w:rFonts w:hint="eastAsia" w:ascii="宋体" w:hAnsi="宋体" w:eastAsia="宋体" w:cs="宋体"/>
          <w:i w:val="0"/>
          <w:iCs w:val="0"/>
          <w:color w:val="auto"/>
          <w:spacing w:val="0"/>
          <w:sz w:val="24"/>
          <w:szCs w:val="24"/>
          <w:highlight w:val="none"/>
          <w:u w:val="single"/>
          <w:lang w:val="en-US" w:eastAsia="zh-CN"/>
        </w:rPr>
        <w:t>2.涉及带星号的项目，若预审时发现任意一项</w:t>
      </w:r>
      <w:r>
        <w:rPr>
          <w:rFonts w:hint="eastAsia" w:ascii="宋体" w:hAnsi="宋体" w:cs="宋体"/>
          <w:i w:val="0"/>
          <w:iCs w:val="0"/>
          <w:color w:val="auto"/>
          <w:spacing w:val="0"/>
          <w:sz w:val="24"/>
          <w:szCs w:val="24"/>
          <w:highlight w:val="none"/>
          <w:u w:val="single"/>
          <w:lang w:val="en-US" w:eastAsia="zh-CN"/>
        </w:rPr>
        <w:t>不</w:t>
      </w:r>
      <w:r>
        <w:rPr>
          <w:rFonts w:hint="eastAsia" w:ascii="宋体" w:hAnsi="宋体" w:eastAsia="宋体" w:cs="宋体"/>
          <w:i w:val="0"/>
          <w:iCs w:val="0"/>
          <w:color w:val="auto"/>
          <w:spacing w:val="0"/>
          <w:sz w:val="24"/>
          <w:szCs w:val="24"/>
          <w:highlight w:val="none"/>
          <w:u w:val="single"/>
          <w:lang w:val="en-US" w:eastAsia="zh-CN"/>
        </w:rPr>
        <w:t>完整，则认定为预审不通过。</w:t>
      </w:r>
    </w:p>
    <w:p w14:paraId="56BC9AF2">
      <w:pPr>
        <w:pStyle w:val="3"/>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482" w:firstLineChars="200"/>
        <w:jc w:val="both"/>
        <w:textAlignment w:val="auto"/>
        <w:rPr>
          <w:rFonts w:hint="eastAsia" w:ascii="宋体" w:hAnsi="宋体" w:eastAsia="宋体" w:cs="宋体"/>
          <w:b/>
          <w:bCs/>
          <w:i w:val="0"/>
          <w:iCs w:val="0"/>
          <w:color w:val="auto"/>
          <w:spacing w:val="0"/>
          <w:sz w:val="24"/>
          <w:szCs w:val="24"/>
          <w:highlight w:val="none"/>
          <w:lang w:val="en-US" w:eastAsia="zh-CN"/>
        </w:rPr>
      </w:pPr>
    </w:p>
    <w:p w14:paraId="6963E8A0">
      <w:pPr>
        <w:pStyle w:val="3"/>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482" w:firstLineChars="200"/>
        <w:jc w:val="both"/>
        <w:textAlignment w:val="auto"/>
        <w:rPr>
          <w:rFonts w:hint="eastAsia" w:ascii="宋体" w:hAnsi="宋体" w:eastAsia="宋体" w:cs="宋体"/>
          <w:b/>
          <w:bCs/>
          <w:i w:val="0"/>
          <w:iCs w:val="0"/>
          <w:color w:val="auto"/>
          <w:spacing w:val="0"/>
          <w:sz w:val="24"/>
          <w:szCs w:val="24"/>
          <w:highlight w:val="none"/>
        </w:rPr>
      </w:pPr>
      <w:r>
        <w:rPr>
          <w:rFonts w:hint="eastAsia" w:ascii="宋体" w:hAnsi="宋体" w:eastAsia="宋体" w:cs="宋体"/>
          <w:b/>
          <w:bCs/>
          <w:i w:val="0"/>
          <w:iCs w:val="0"/>
          <w:color w:val="auto"/>
          <w:spacing w:val="0"/>
          <w:sz w:val="24"/>
          <w:szCs w:val="24"/>
          <w:highlight w:val="none"/>
          <w:lang w:val="en-US" w:eastAsia="zh-CN"/>
        </w:rPr>
        <w:t>代理机构初审人员</w:t>
      </w:r>
      <w:r>
        <w:rPr>
          <w:rFonts w:hint="eastAsia" w:ascii="宋体" w:hAnsi="宋体" w:eastAsia="宋体" w:cs="宋体"/>
          <w:b/>
          <w:bCs/>
          <w:i w:val="0"/>
          <w:iCs w:val="0"/>
          <w:color w:val="auto"/>
          <w:spacing w:val="0"/>
          <w:sz w:val="24"/>
          <w:szCs w:val="24"/>
          <w:highlight w:val="none"/>
        </w:rPr>
        <w:t>签字：</w:t>
      </w:r>
    </w:p>
    <w:p w14:paraId="69F931FA">
      <w:pPr>
        <w:pStyle w:val="3"/>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482" w:firstLineChars="200"/>
        <w:jc w:val="both"/>
        <w:textAlignment w:val="auto"/>
        <w:rPr>
          <w:rFonts w:hint="eastAsia" w:ascii="宋体" w:hAnsi="宋体" w:eastAsia="宋体" w:cs="宋体"/>
          <w:b/>
          <w:bCs/>
          <w:i w:val="0"/>
          <w:iCs w:val="0"/>
          <w:color w:val="auto"/>
          <w:spacing w:val="0"/>
          <w:sz w:val="24"/>
          <w:szCs w:val="24"/>
          <w:highlight w:val="none"/>
        </w:rPr>
      </w:pPr>
    </w:p>
    <w:p w14:paraId="1E09B91D">
      <w:pPr>
        <w:pStyle w:val="3"/>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482" w:firstLineChars="200"/>
        <w:jc w:val="both"/>
        <w:textAlignment w:val="auto"/>
        <w:rPr>
          <w:rFonts w:hint="eastAsia" w:ascii="宋体" w:hAnsi="宋体" w:eastAsia="宋体" w:cs="宋体"/>
          <w:b/>
          <w:bCs/>
          <w:i w:val="0"/>
          <w:iCs w:val="0"/>
          <w:color w:val="auto"/>
          <w:spacing w:val="0"/>
          <w:sz w:val="24"/>
          <w:szCs w:val="24"/>
          <w:highlight w:val="none"/>
          <w:lang w:eastAsia="zh-CN"/>
        </w:rPr>
      </w:pPr>
      <w:r>
        <w:rPr>
          <w:rFonts w:hint="eastAsia" w:ascii="宋体" w:hAnsi="宋体" w:eastAsia="宋体" w:cs="宋体"/>
          <w:b/>
          <w:bCs/>
          <w:i w:val="0"/>
          <w:iCs w:val="0"/>
          <w:color w:val="auto"/>
          <w:spacing w:val="0"/>
          <w:sz w:val="24"/>
          <w:szCs w:val="24"/>
          <w:highlight w:val="none"/>
        </w:rPr>
        <w:t>投标单位签字</w:t>
      </w:r>
      <w:r>
        <w:rPr>
          <w:rFonts w:hint="eastAsia" w:ascii="宋体" w:hAnsi="宋体" w:eastAsia="宋体" w:cs="宋体"/>
          <w:b/>
          <w:bCs/>
          <w:i w:val="0"/>
          <w:iCs w:val="0"/>
          <w:color w:val="auto"/>
          <w:spacing w:val="0"/>
          <w:sz w:val="24"/>
          <w:szCs w:val="24"/>
          <w:highlight w:val="none"/>
          <w:lang w:eastAsia="zh-CN"/>
        </w:rPr>
        <w:t>：</w:t>
      </w:r>
    </w:p>
    <w:p w14:paraId="2ABF7571">
      <w:pPr>
        <w:pStyle w:val="3"/>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3614" w:firstLineChars="1500"/>
        <w:jc w:val="both"/>
        <w:textAlignment w:val="auto"/>
        <w:rPr>
          <w:rFonts w:hint="eastAsia" w:ascii="宋体" w:hAnsi="宋体" w:eastAsia="宋体" w:cs="宋体"/>
          <w:b/>
          <w:bCs/>
          <w:i w:val="0"/>
          <w:iCs w:val="0"/>
          <w:color w:val="auto"/>
          <w:spacing w:val="0"/>
          <w:sz w:val="24"/>
          <w:szCs w:val="24"/>
          <w:highlight w:val="none"/>
        </w:rPr>
      </w:pPr>
    </w:p>
    <w:p w14:paraId="7A78CFE7">
      <w:pPr>
        <w:pStyle w:val="3"/>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3614" w:firstLineChars="1500"/>
        <w:jc w:val="right"/>
        <w:textAlignment w:val="auto"/>
        <w:rPr>
          <w:rFonts w:hint="eastAsia" w:ascii="宋体" w:hAnsi="宋体" w:eastAsia="宋体" w:cs="宋体"/>
          <w:b/>
          <w:bCs/>
          <w:color w:val="auto"/>
          <w:sz w:val="24"/>
          <w:szCs w:val="24"/>
          <w:highlight w:val="none"/>
        </w:rPr>
      </w:pPr>
      <w:r>
        <w:rPr>
          <w:rFonts w:hint="eastAsia" w:ascii="宋体" w:hAnsi="宋体" w:eastAsia="宋体" w:cs="宋体"/>
          <w:b/>
          <w:bCs/>
          <w:i w:val="0"/>
          <w:iCs w:val="0"/>
          <w:color w:val="auto"/>
          <w:spacing w:val="0"/>
          <w:sz w:val="24"/>
          <w:szCs w:val="24"/>
          <w:highlight w:val="none"/>
        </w:rPr>
        <w:t>日期：</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月</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日</w:t>
      </w:r>
    </w:p>
    <w:p w14:paraId="158A31A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pacing w:before="0" w:beforeAutospacing="0" w:after="0" w:afterAutospacing="0" w:line="520" w:lineRule="exact"/>
        <w:ind w:right="0"/>
        <w:jc w:val="both"/>
        <w:rPr>
          <w:rFonts w:hint="eastAsia" w:ascii="宋体" w:hAnsi="宋体" w:eastAsia="宋体" w:cs="宋体"/>
          <w:kern w:val="2"/>
          <w:sz w:val="30"/>
          <w:szCs w:val="30"/>
          <w:highlight w:val="none"/>
          <w:lang w:val="en-US" w:eastAsia="zh-CN" w:bidi="ar-SA"/>
        </w:rPr>
      </w:pPr>
      <w:r>
        <w:rPr>
          <w:rFonts w:hint="eastAsia" w:ascii="宋体" w:hAnsi="宋体" w:eastAsia="宋体" w:cs="宋体"/>
          <w:b/>
          <w:bCs/>
          <w:i w:val="0"/>
          <w:iCs w:val="0"/>
          <w:color w:val="auto"/>
          <w:spacing w:val="0"/>
          <w:kern w:val="0"/>
          <w:sz w:val="24"/>
          <w:szCs w:val="24"/>
          <w:highlight w:val="none"/>
          <w:lang w:val="en-US" w:eastAsia="zh-CN" w:bidi="ar-SA"/>
        </w:rPr>
        <w:br w:type="page"/>
      </w:r>
      <w:r>
        <w:rPr>
          <w:rFonts w:hint="eastAsia" w:ascii="宋体" w:hAnsi="宋体" w:eastAsia="宋体" w:cs="宋体"/>
          <w:b/>
          <w:bCs/>
          <w:i w:val="0"/>
          <w:iCs w:val="0"/>
          <w:color w:val="auto"/>
          <w:spacing w:val="0"/>
          <w:kern w:val="0"/>
          <w:sz w:val="24"/>
          <w:szCs w:val="24"/>
          <w:highlight w:val="none"/>
          <w:lang w:val="en-US" w:eastAsia="zh-CN" w:bidi="ar-SA"/>
        </w:rPr>
        <w:t>附件2：</w:t>
      </w:r>
    </w:p>
    <w:p w14:paraId="6C99199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pacing w:before="0" w:beforeAutospacing="0" w:after="0" w:afterAutospacing="0" w:line="520" w:lineRule="exact"/>
        <w:ind w:right="0"/>
        <w:jc w:val="center"/>
        <w:rPr>
          <w:rFonts w:hint="eastAsia" w:ascii="宋体" w:hAnsi="宋体" w:eastAsia="宋体" w:cs="宋体"/>
          <w:b/>
          <w:bCs/>
          <w:i w:val="0"/>
          <w:iCs w:val="0"/>
          <w:color w:val="auto"/>
          <w:spacing w:val="0"/>
          <w:kern w:val="0"/>
          <w:sz w:val="28"/>
          <w:szCs w:val="28"/>
          <w:highlight w:val="none"/>
          <w:lang w:val="en-US" w:eastAsia="zh-CN" w:bidi="ar-SA"/>
        </w:rPr>
      </w:pPr>
    </w:p>
    <w:p w14:paraId="319BA8C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spacing w:before="0" w:beforeAutospacing="0" w:after="0" w:afterAutospacing="0" w:line="520" w:lineRule="exact"/>
        <w:ind w:right="0"/>
        <w:jc w:val="center"/>
        <w:rPr>
          <w:rFonts w:hint="eastAsia" w:ascii="宋体" w:hAnsi="宋体" w:eastAsia="宋体" w:cs="宋体"/>
          <w:b/>
          <w:bCs/>
          <w:i w:val="0"/>
          <w:iCs w:val="0"/>
          <w:color w:val="auto"/>
          <w:spacing w:val="0"/>
          <w:kern w:val="0"/>
          <w:sz w:val="28"/>
          <w:szCs w:val="28"/>
          <w:highlight w:val="none"/>
          <w:lang w:val="en-US" w:eastAsia="zh-CN" w:bidi="ar-SA"/>
        </w:rPr>
      </w:pPr>
      <w:r>
        <w:rPr>
          <w:rFonts w:hint="eastAsia" w:ascii="宋体" w:hAnsi="宋体" w:eastAsia="宋体" w:cs="宋体"/>
          <w:b/>
          <w:bCs/>
          <w:i w:val="0"/>
          <w:iCs w:val="0"/>
          <w:color w:val="auto"/>
          <w:spacing w:val="0"/>
          <w:kern w:val="0"/>
          <w:sz w:val="28"/>
          <w:szCs w:val="28"/>
          <w:highlight w:val="none"/>
          <w:lang w:val="en-US" w:eastAsia="zh-CN" w:bidi="ar-SA"/>
        </w:rPr>
        <w:t>资格审查表2</w:t>
      </w:r>
      <w:r>
        <w:rPr>
          <w:rFonts w:hint="eastAsia" w:eastAsia="宋体" w:cs="宋体"/>
          <w:b/>
          <w:bCs/>
          <w:i w:val="0"/>
          <w:iCs w:val="0"/>
          <w:color w:val="auto"/>
          <w:spacing w:val="0"/>
          <w:kern w:val="0"/>
          <w:sz w:val="28"/>
          <w:szCs w:val="28"/>
          <w:highlight w:val="none"/>
          <w:lang w:val="en-US" w:eastAsia="zh-CN" w:bidi="ar-SA"/>
        </w:rPr>
        <w:t>－</w:t>
      </w:r>
      <w:r>
        <w:rPr>
          <w:rFonts w:hint="eastAsia" w:ascii="宋体" w:hAnsi="宋体" w:eastAsia="宋体" w:cs="宋体"/>
          <w:b/>
          <w:bCs/>
          <w:i w:val="0"/>
          <w:iCs w:val="0"/>
          <w:color w:val="auto"/>
          <w:spacing w:val="0"/>
          <w:kern w:val="0"/>
          <w:sz w:val="28"/>
          <w:szCs w:val="28"/>
          <w:highlight w:val="none"/>
          <w:lang w:val="en-US" w:eastAsia="zh-CN" w:bidi="ar-SA"/>
        </w:rPr>
        <w:t>姑苏区学校食材招标资格审查现场考察表</w:t>
      </w:r>
    </w:p>
    <w:p w14:paraId="2499C3B2">
      <w:pPr>
        <w:keepNext w:val="0"/>
        <w:keepLines w:val="0"/>
        <w:pageBreakBefore w:val="0"/>
        <w:widowControl w:val="0"/>
        <w:kinsoku/>
        <w:wordWrap/>
        <w:overflowPunct w:val="0"/>
        <w:topLinePunct w:val="0"/>
        <w:autoSpaceDE/>
        <w:autoSpaceDN/>
        <w:bidi w:val="0"/>
        <w:adjustRightInd w:val="0"/>
        <w:snapToGrid w:val="0"/>
        <w:spacing w:line="360" w:lineRule="auto"/>
        <w:ind w:firstLine="0" w:firstLineChars="0"/>
        <w:textAlignment w:val="auto"/>
        <w:rPr>
          <w:rFonts w:hint="eastAsia" w:ascii="宋体" w:hAnsi="宋体" w:eastAsia="宋体" w:cs="宋体"/>
          <w:sz w:val="24"/>
          <w:szCs w:val="24"/>
          <w:highlight w:val="none"/>
          <w:lang w:val="en-US" w:eastAsia="zh-CN"/>
        </w:rPr>
      </w:pPr>
    </w:p>
    <w:p w14:paraId="5B84BF02">
      <w:pPr>
        <w:keepNext w:val="0"/>
        <w:keepLines w:val="0"/>
        <w:pageBreakBefore w:val="0"/>
        <w:widowControl w:val="0"/>
        <w:kinsoku/>
        <w:wordWrap/>
        <w:overflowPunct w:val="0"/>
        <w:topLinePunct w:val="0"/>
        <w:autoSpaceDE/>
        <w:autoSpaceDN/>
        <w:bidi w:val="0"/>
        <w:adjustRightInd w:val="0"/>
        <w:snapToGrid w:val="0"/>
        <w:spacing w:line="360" w:lineRule="auto"/>
        <w:ind w:left="2" w:leftChars="-200" w:hanging="422" w:hangingChars="175"/>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投标供应商名称：</w:t>
      </w:r>
    </w:p>
    <w:tbl>
      <w:tblPr>
        <w:tblStyle w:val="6"/>
        <w:tblW w:w="5415" w:type="pct"/>
        <w:jc w:val="center"/>
        <w:tblLayout w:type="fixed"/>
        <w:tblCellMar>
          <w:top w:w="0" w:type="dxa"/>
          <w:left w:w="108" w:type="dxa"/>
          <w:bottom w:w="0" w:type="dxa"/>
          <w:right w:w="108" w:type="dxa"/>
        </w:tblCellMar>
      </w:tblPr>
      <w:tblGrid>
        <w:gridCol w:w="838"/>
        <w:gridCol w:w="2878"/>
        <w:gridCol w:w="3378"/>
        <w:gridCol w:w="2719"/>
      </w:tblGrid>
      <w:tr w14:paraId="4E7BB2A5">
        <w:tblPrEx>
          <w:tblCellMar>
            <w:top w:w="0" w:type="dxa"/>
            <w:left w:w="108" w:type="dxa"/>
            <w:bottom w:w="0" w:type="dxa"/>
            <w:right w:w="108" w:type="dxa"/>
          </w:tblCellMar>
        </w:tblPrEx>
        <w:trPr>
          <w:trHeight w:val="699" w:hRule="atLeast"/>
          <w:tblHeader/>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4AEBD8EA">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序号</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45BD713F">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投标人资格条件</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459F489B">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审查内容及方式</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74B8D0B8">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val="en-US" w:eastAsia="zh-CN" w:bidi="ar"/>
              </w:rPr>
              <w:t>自查</w:t>
            </w:r>
            <w:r>
              <w:rPr>
                <w:rFonts w:hint="eastAsia" w:ascii="宋体" w:hAnsi="宋体" w:eastAsia="宋体" w:cs="宋体"/>
                <w:b/>
                <w:bCs/>
                <w:color w:val="auto"/>
                <w:sz w:val="24"/>
                <w:szCs w:val="24"/>
                <w:highlight w:val="none"/>
                <w:lang w:bidi="ar"/>
              </w:rPr>
              <w:t>情况</w:t>
            </w:r>
          </w:p>
        </w:tc>
      </w:tr>
      <w:tr w14:paraId="6455A476">
        <w:tblPrEx>
          <w:tblCellMar>
            <w:top w:w="0" w:type="dxa"/>
            <w:left w:w="108" w:type="dxa"/>
            <w:bottom w:w="0" w:type="dxa"/>
            <w:right w:w="108" w:type="dxa"/>
          </w:tblCellMar>
        </w:tblPrEx>
        <w:trPr>
          <w:trHeight w:val="788"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117642D2">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6C36C825">
            <w:pPr>
              <w:keepNext w:val="0"/>
              <w:keepLines w:val="0"/>
              <w:suppressLineNumbers w:val="0"/>
              <w:spacing w:before="0" w:beforeAutospacing="0" w:after="0" w:afterAutospacing="0" w:line="240" w:lineRule="auto"/>
              <w:ind w:left="0" w:right="0"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w:t>
            </w:r>
            <w:r>
              <w:rPr>
                <w:rFonts w:hint="eastAsia" w:ascii="宋体" w:hAnsi="宋体" w:eastAsia="宋体" w:cs="宋体"/>
                <w:color w:val="auto"/>
                <w:sz w:val="24"/>
                <w:szCs w:val="24"/>
                <w:highlight w:val="none"/>
                <w:lang w:bidi="ar"/>
              </w:rPr>
              <w:t>投标人营业执照</w:t>
            </w:r>
          </w:p>
        </w:tc>
        <w:tc>
          <w:tcPr>
            <w:tcW w:w="1721" w:type="pct"/>
            <w:tcBorders>
              <w:top w:val="single" w:color="000000" w:sz="4" w:space="0"/>
              <w:left w:val="single" w:color="000000" w:sz="4" w:space="0"/>
              <w:bottom w:val="single" w:color="000000" w:sz="4" w:space="0"/>
              <w:right w:val="single" w:color="000000" w:sz="4" w:space="0"/>
            </w:tcBorders>
            <w:noWrap w:val="0"/>
            <w:vAlign w:val="center"/>
          </w:tcPr>
          <w:p w14:paraId="5FFF11AD">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bidi="ar"/>
              </w:rPr>
              <w:t>现场核查营业执照原件与投标人名称</w:t>
            </w:r>
          </w:p>
        </w:tc>
        <w:tc>
          <w:tcPr>
            <w:tcW w:w="1385" w:type="pct"/>
            <w:tcBorders>
              <w:top w:val="single" w:color="000000" w:sz="4" w:space="0"/>
              <w:left w:val="single" w:color="000000" w:sz="4" w:space="0"/>
              <w:bottom w:val="single" w:color="000000" w:sz="4" w:space="0"/>
              <w:right w:val="single" w:color="000000" w:sz="4" w:space="0"/>
            </w:tcBorders>
            <w:noWrap w:val="0"/>
            <w:vAlign w:val="center"/>
          </w:tcPr>
          <w:p w14:paraId="7E2A4CDC">
            <w:pPr>
              <w:keepNext w:val="0"/>
              <w:keepLines w:val="0"/>
              <w:suppressLineNumbers w:val="0"/>
              <w:spacing w:before="0" w:beforeAutospacing="0" w:after="0" w:afterAutospacing="0" w:line="240" w:lineRule="auto"/>
              <w:ind w:left="420" w:right="0" w:hanging="480" w:hanging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p>
          <w:p w14:paraId="07E68208">
            <w:pPr>
              <w:keepNext w:val="0"/>
              <w:keepLines w:val="0"/>
              <w:suppressLineNumbers w:val="0"/>
              <w:spacing w:before="0" w:beforeAutospacing="0" w:after="0" w:afterAutospacing="0" w:line="240" w:lineRule="auto"/>
              <w:ind w:left="420" w:right="0" w:hanging="480" w:hangingChars="200"/>
              <w:jc w:val="both"/>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rPr>
              <w:t>□不符合</w:t>
            </w:r>
          </w:p>
        </w:tc>
      </w:tr>
      <w:tr w14:paraId="086298DE">
        <w:tblPrEx>
          <w:tblCellMar>
            <w:top w:w="0" w:type="dxa"/>
            <w:left w:w="108" w:type="dxa"/>
            <w:bottom w:w="0" w:type="dxa"/>
            <w:right w:w="108" w:type="dxa"/>
          </w:tblCellMar>
        </w:tblPrEx>
        <w:trPr>
          <w:trHeight w:val="684"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15FBB41E">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62C5BE11">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法定代表人授权委托书</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268EFE64">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现场核查授权书原件及授权代表身份证原件</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223FEB1A">
            <w:pPr>
              <w:keepNext w:val="0"/>
              <w:keepLines w:val="0"/>
              <w:suppressLineNumbers w:val="0"/>
              <w:spacing w:before="0" w:beforeAutospacing="0" w:after="0" w:afterAutospacing="0" w:line="240" w:lineRule="auto"/>
              <w:ind w:left="420" w:right="0" w:hanging="480" w:hanging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p>
          <w:p w14:paraId="4930F1B1">
            <w:pPr>
              <w:keepNext w:val="0"/>
              <w:keepLines w:val="0"/>
              <w:suppressLineNumbers w:val="0"/>
              <w:spacing w:before="0" w:beforeAutospacing="0" w:after="0" w:afterAutospacing="0" w:line="240" w:lineRule="auto"/>
              <w:ind w:left="420" w:right="0" w:hanging="480" w:hangingChars="200"/>
              <w:jc w:val="both"/>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rPr>
              <w:t>□不符合</w:t>
            </w:r>
          </w:p>
        </w:tc>
      </w:tr>
      <w:tr w14:paraId="21B6A70C">
        <w:tblPrEx>
          <w:tblCellMar>
            <w:top w:w="0" w:type="dxa"/>
            <w:left w:w="108" w:type="dxa"/>
            <w:bottom w:w="0" w:type="dxa"/>
            <w:right w:w="108" w:type="dxa"/>
          </w:tblCellMar>
        </w:tblPrEx>
        <w:trPr>
          <w:trHeight w:val="90"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49B0EDC6">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21EBA248">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b w:val="0"/>
                <w:bCs w:val="0"/>
                <w:color w:val="auto"/>
                <w:sz w:val="24"/>
                <w:szCs w:val="24"/>
                <w:highlight w:val="none"/>
                <w:lang w:bidi="ar"/>
              </w:rPr>
            </w:pPr>
            <w:r>
              <w:rPr>
                <w:rFonts w:hint="eastAsia" w:ascii="宋体" w:hAnsi="宋体" w:eastAsia="宋体" w:cs="宋体"/>
                <w:b w:val="0"/>
                <w:bCs w:val="0"/>
                <w:color w:val="auto"/>
                <w:spacing w:val="-1"/>
                <w:sz w:val="24"/>
                <w:szCs w:val="24"/>
                <w:highlight w:val="none"/>
              </w:rPr>
              <w:t>*</w:t>
            </w:r>
            <w:r>
              <w:rPr>
                <w:rFonts w:hint="eastAsia" w:ascii="宋体" w:hAnsi="宋体" w:eastAsia="宋体" w:cs="宋体"/>
                <w:b w:val="0"/>
                <w:bCs w:val="0"/>
                <w:color w:val="auto"/>
                <w:sz w:val="24"/>
                <w:szCs w:val="24"/>
                <w:highlight w:val="none"/>
                <w:lang w:bidi="ar"/>
              </w:rPr>
              <w:t>提供具有有效的《食品经营许可证》（提供有效证明文件，食品经营许可证载明的经营场所应当与营业执照住所和配送操作场所一致）</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638520B4">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b w:val="0"/>
                <w:bCs w:val="0"/>
                <w:color w:val="auto"/>
                <w:sz w:val="24"/>
                <w:szCs w:val="24"/>
                <w:highlight w:val="none"/>
                <w:lang w:val="en-US" w:eastAsia="zh-CN" w:bidi="ar"/>
              </w:rPr>
            </w:pPr>
            <w:r>
              <w:rPr>
                <w:rFonts w:hint="eastAsia" w:ascii="宋体" w:hAnsi="宋体" w:eastAsia="宋体" w:cs="宋体"/>
                <w:b w:val="0"/>
                <w:bCs w:val="0"/>
                <w:color w:val="auto"/>
                <w:sz w:val="24"/>
                <w:szCs w:val="24"/>
                <w:highlight w:val="none"/>
                <w:lang w:bidi="ar"/>
              </w:rPr>
              <w:t>现场核查</w:t>
            </w:r>
            <w:r>
              <w:rPr>
                <w:rFonts w:hint="eastAsia" w:ascii="宋体" w:hAnsi="宋体" w:eastAsia="宋体" w:cs="宋体"/>
                <w:b w:val="0"/>
                <w:bCs w:val="0"/>
                <w:color w:val="auto"/>
                <w:sz w:val="24"/>
                <w:szCs w:val="24"/>
                <w:highlight w:val="none"/>
                <w:lang w:val="en-US" w:eastAsia="zh-CN" w:bidi="ar"/>
              </w:rPr>
              <w:t>有效</w:t>
            </w:r>
            <w:r>
              <w:rPr>
                <w:rFonts w:hint="eastAsia" w:ascii="宋体" w:hAnsi="宋体" w:eastAsia="宋体" w:cs="宋体"/>
                <w:b w:val="0"/>
                <w:bCs w:val="0"/>
                <w:color w:val="auto"/>
                <w:sz w:val="24"/>
                <w:szCs w:val="24"/>
                <w:highlight w:val="none"/>
                <w:lang w:bidi="ar"/>
              </w:rPr>
              <w:t>《食品经营许可证》</w:t>
            </w:r>
            <w:r>
              <w:rPr>
                <w:rFonts w:hint="eastAsia" w:ascii="宋体" w:hAnsi="宋体" w:eastAsia="宋体" w:cs="宋体"/>
                <w:b w:val="0"/>
                <w:bCs w:val="0"/>
                <w:color w:val="auto"/>
                <w:sz w:val="24"/>
                <w:szCs w:val="24"/>
                <w:highlight w:val="none"/>
                <w:lang w:val="en-US" w:eastAsia="zh-CN" w:bidi="ar"/>
              </w:rPr>
              <w:t>上面的经营地址需和实际地址一致</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593C4B0C">
            <w:pPr>
              <w:keepNext w:val="0"/>
              <w:keepLines w:val="0"/>
              <w:suppressLineNumbers w:val="0"/>
              <w:spacing w:before="0" w:beforeAutospacing="0" w:after="0" w:afterAutospacing="0" w:line="240" w:lineRule="auto"/>
              <w:ind w:left="420" w:right="0" w:hanging="480" w:hanging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p>
          <w:p w14:paraId="2CB9946A">
            <w:pPr>
              <w:keepNext w:val="0"/>
              <w:keepLines w:val="0"/>
              <w:suppressLineNumbers w:val="0"/>
              <w:spacing w:before="0" w:beforeAutospacing="0" w:after="0" w:afterAutospacing="0" w:line="240" w:lineRule="auto"/>
              <w:ind w:left="420" w:right="0" w:hanging="480" w:hanging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w:t>
            </w:r>
          </w:p>
        </w:tc>
      </w:tr>
      <w:tr w14:paraId="0E91A784">
        <w:tblPrEx>
          <w:tblCellMar>
            <w:top w:w="0" w:type="dxa"/>
            <w:left w:w="108" w:type="dxa"/>
            <w:bottom w:w="0" w:type="dxa"/>
            <w:right w:w="108" w:type="dxa"/>
          </w:tblCellMar>
        </w:tblPrEx>
        <w:trPr>
          <w:trHeight w:val="1087"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282512BF">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4</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053F0038">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rPr>
              <w:t>*近三年内开展过企事业单位食材配</w:t>
            </w:r>
            <w:r>
              <w:rPr>
                <w:rFonts w:hint="eastAsia" w:ascii="宋体" w:hAnsi="宋体" w:eastAsia="宋体" w:cs="宋体"/>
                <w:color w:val="auto"/>
                <w:spacing w:val="-3"/>
                <w:sz w:val="24"/>
                <w:szCs w:val="24"/>
                <w:highlight w:val="none"/>
              </w:rPr>
              <w:t>送业务</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57B16BD8">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pacing w:val="-2"/>
                <w:sz w:val="24"/>
                <w:szCs w:val="24"/>
                <w:highlight w:val="none"/>
              </w:rPr>
              <w:t>现场核查</w:t>
            </w:r>
            <w:r>
              <w:rPr>
                <w:rFonts w:hint="eastAsia" w:ascii="宋体" w:hAnsi="宋体" w:eastAsia="宋体" w:cs="宋体"/>
                <w:color w:val="auto"/>
                <w:spacing w:val="-1"/>
                <w:sz w:val="24"/>
                <w:szCs w:val="24"/>
                <w:highlight w:val="none"/>
              </w:rPr>
              <w:t>企事业单位</w:t>
            </w:r>
            <w:r>
              <w:rPr>
                <w:rFonts w:hint="eastAsia" w:ascii="宋体" w:hAnsi="宋体" w:eastAsia="宋体" w:cs="宋体"/>
                <w:color w:val="auto"/>
                <w:spacing w:val="-2"/>
                <w:sz w:val="24"/>
                <w:szCs w:val="24"/>
                <w:highlight w:val="none"/>
              </w:rPr>
              <w:t>配送合同</w:t>
            </w:r>
            <w:r>
              <w:rPr>
                <w:rFonts w:hint="eastAsia" w:ascii="宋体" w:hAnsi="宋体" w:eastAsia="宋体" w:cs="宋体"/>
                <w:color w:val="auto"/>
                <w:spacing w:val="-2"/>
                <w:sz w:val="24"/>
                <w:szCs w:val="24"/>
                <w:highlight w:val="none"/>
                <w:lang w:val="en-US" w:eastAsia="zh-CN"/>
              </w:rPr>
              <w:t>与发票</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09EA1A07">
            <w:pPr>
              <w:keepNext w:val="0"/>
              <w:keepLines w:val="0"/>
              <w:suppressLineNumbers w:val="0"/>
              <w:spacing w:before="0" w:beforeAutospacing="0" w:after="0" w:afterAutospacing="0" w:line="240" w:lineRule="auto"/>
              <w:ind w:left="420" w:right="0" w:hanging="480" w:hanging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p>
          <w:p w14:paraId="2CF622EA">
            <w:pPr>
              <w:keepNext w:val="0"/>
              <w:keepLines w:val="0"/>
              <w:suppressLineNumbers w:val="0"/>
              <w:spacing w:before="0" w:beforeAutospacing="0" w:after="0" w:afterAutospacing="0" w:line="240" w:lineRule="auto"/>
              <w:ind w:left="420" w:right="0" w:hanging="480" w:hanging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w:t>
            </w:r>
          </w:p>
        </w:tc>
      </w:tr>
      <w:tr w14:paraId="264BFB63">
        <w:tblPrEx>
          <w:tblCellMar>
            <w:top w:w="0" w:type="dxa"/>
            <w:left w:w="108" w:type="dxa"/>
            <w:bottom w:w="0" w:type="dxa"/>
            <w:right w:w="108" w:type="dxa"/>
          </w:tblCellMar>
        </w:tblPrEx>
        <w:trPr>
          <w:trHeight w:val="90"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067CA4D9">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bidi="ar"/>
              </w:rPr>
              <w:t>5</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4D4C2418">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
                <w:sz w:val="24"/>
                <w:szCs w:val="24"/>
                <w:highlight w:val="none"/>
              </w:rPr>
              <w:t>*固定</w:t>
            </w:r>
            <w:r>
              <w:rPr>
                <w:rFonts w:hint="eastAsia" w:ascii="宋体" w:hAnsi="宋体" w:eastAsia="宋体" w:cs="宋体"/>
                <w:color w:val="auto"/>
                <w:spacing w:val="-1"/>
                <w:sz w:val="24"/>
                <w:szCs w:val="24"/>
                <w:highlight w:val="none"/>
                <w:lang w:val="en-US" w:eastAsia="zh-CN"/>
              </w:rPr>
              <w:t>经营场地需相连，</w:t>
            </w:r>
            <w:r>
              <w:rPr>
                <w:rFonts w:hint="eastAsia" w:ascii="宋体" w:hAnsi="宋体" w:eastAsia="宋体" w:cs="宋体"/>
                <w:color w:val="auto"/>
                <w:spacing w:val="-1"/>
                <w:sz w:val="24"/>
                <w:szCs w:val="24"/>
                <w:highlight w:val="none"/>
              </w:rPr>
              <w:t>经营场所</w:t>
            </w:r>
            <w:r>
              <w:rPr>
                <w:rFonts w:hint="eastAsia" w:ascii="宋体" w:hAnsi="宋体" w:eastAsia="宋体" w:cs="宋体"/>
                <w:color w:val="auto"/>
                <w:spacing w:val="-1"/>
                <w:sz w:val="24"/>
                <w:szCs w:val="24"/>
                <w:highlight w:val="none"/>
                <w:lang w:val="en-US" w:eastAsia="zh-CN"/>
              </w:rPr>
              <w:t>为自有或租赁</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65FC495D">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u w:val="none"/>
                <w:lang w:val="en-US" w:eastAsia="zh-CN" w:bidi="ar"/>
              </w:rPr>
            </w:pPr>
            <w:r>
              <w:rPr>
                <w:rFonts w:hint="eastAsia" w:ascii="宋体" w:hAnsi="宋体" w:eastAsia="宋体" w:cs="宋体"/>
                <w:color w:val="auto"/>
                <w:sz w:val="24"/>
                <w:szCs w:val="24"/>
                <w:highlight w:val="none"/>
                <w:u w:val="none"/>
                <w:lang w:val="en-US" w:eastAsia="zh-CN" w:bidi="ar"/>
              </w:rPr>
              <w:t>场地相连</w:t>
            </w:r>
          </w:p>
          <w:p w14:paraId="3131ECC5">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现场核查</w:t>
            </w:r>
            <w:r>
              <w:rPr>
                <w:rFonts w:hint="eastAsia" w:ascii="宋体" w:hAnsi="宋体" w:eastAsia="宋体" w:cs="宋体"/>
                <w:color w:val="auto"/>
                <w:sz w:val="24"/>
                <w:szCs w:val="24"/>
                <w:highlight w:val="none"/>
                <w:lang w:eastAsia="zh" w:bidi="ar"/>
              </w:rPr>
              <w:t>相关产权证明</w:t>
            </w:r>
            <w:r>
              <w:rPr>
                <w:rFonts w:hint="eastAsia" w:ascii="宋体" w:hAnsi="宋体" w:eastAsia="宋体" w:cs="宋体"/>
                <w:color w:val="auto"/>
                <w:sz w:val="24"/>
                <w:szCs w:val="24"/>
                <w:highlight w:val="none"/>
                <w:lang w:bidi="ar"/>
              </w:rPr>
              <w:t>原件或仍在合同期内的租赁协议原件及出租方相关产权证明原件等</w:t>
            </w:r>
            <w:r>
              <w:rPr>
                <w:rFonts w:hint="eastAsia" w:ascii="宋体" w:hAnsi="宋体" w:eastAsia="宋体" w:cs="宋体"/>
                <w:color w:val="auto"/>
                <w:sz w:val="24"/>
                <w:szCs w:val="24"/>
                <w:highlight w:val="none"/>
                <w:lang w:eastAsia="zh" w:bidi="ar"/>
              </w:rPr>
              <w:t>。</w:t>
            </w:r>
            <w:r>
              <w:rPr>
                <w:rFonts w:hint="eastAsia" w:ascii="宋体" w:hAnsi="宋体" w:eastAsia="宋体" w:cs="宋体"/>
                <w:color w:val="auto"/>
                <w:sz w:val="24"/>
                <w:szCs w:val="24"/>
                <w:highlight w:val="none"/>
                <w:lang w:bidi="ar"/>
              </w:rPr>
              <w:t>（自有产权证明的所有人必须为投标人</w:t>
            </w:r>
            <w:r>
              <w:rPr>
                <w:rFonts w:hint="eastAsia" w:ascii="宋体" w:hAnsi="宋体" w:eastAsia="宋体" w:cs="宋体"/>
                <w:color w:val="auto"/>
                <w:sz w:val="24"/>
                <w:szCs w:val="24"/>
                <w:highlight w:val="none"/>
                <w:lang w:eastAsia="zh-CN" w:bidi="ar"/>
              </w:rPr>
              <w:t>，提供房产证或其他有效房产证明材料，</w:t>
            </w:r>
            <w:r>
              <w:rPr>
                <w:rFonts w:hint="eastAsia" w:ascii="宋体" w:hAnsi="宋体" w:eastAsia="宋体" w:cs="宋体"/>
                <w:color w:val="auto"/>
                <w:sz w:val="24"/>
                <w:szCs w:val="24"/>
                <w:highlight w:val="none"/>
                <w:lang w:val="en-US" w:eastAsia="zh-CN" w:bidi="ar"/>
              </w:rPr>
              <w:t>如为租赁同时提供租赁协议及任意一期的租赁发票</w:t>
            </w:r>
            <w:r>
              <w:rPr>
                <w:rFonts w:hint="eastAsia" w:ascii="宋体" w:hAnsi="宋体" w:eastAsia="宋体" w:cs="宋体"/>
                <w:color w:val="auto"/>
                <w:sz w:val="24"/>
                <w:szCs w:val="24"/>
                <w:highlight w:val="none"/>
                <w:lang w:bidi="ar"/>
              </w:rPr>
              <w:t>）</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21A2DD57">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p>
          <w:p w14:paraId="7146E74F">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w:t>
            </w:r>
          </w:p>
        </w:tc>
      </w:tr>
      <w:tr w14:paraId="7033BC25">
        <w:tblPrEx>
          <w:tblCellMar>
            <w:top w:w="0" w:type="dxa"/>
            <w:left w:w="108" w:type="dxa"/>
            <w:bottom w:w="0" w:type="dxa"/>
            <w:right w:w="108" w:type="dxa"/>
          </w:tblCellMar>
        </w:tblPrEx>
        <w:trPr>
          <w:trHeight w:val="3595"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2A8A6080">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6</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0CA1B89B">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*室内经营场地面积</w:t>
            </w:r>
            <w:r>
              <w:rPr>
                <w:rFonts w:hint="eastAsia" w:ascii="宋体" w:hAnsi="宋体" w:eastAsia="宋体" w:cs="宋体"/>
                <w:color w:val="auto"/>
                <w:sz w:val="24"/>
                <w:szCs w:val="24"/>
                <w:highlight w:val="none"/>
                <w:lang w:val="en-US" w:eastAsia="zh-CN" w:bidi="ar"/>
              </w:rPr>
              <w:t>至少1500</w:t>
            </w:r>
            <w:r>
              <w:rPr>
                <w:rFonts w:hint="eastAsia" w:ascii="宋体" w:hAnsi="宋体" w:eastAsia="宋体" w:cs="宋体"/>
                <w:color w:val="auto"/>
                <w:sz w:val="24"/>
                <w:szCs w:val="24"/>
                <w:highlight w:val="none"/>
                <w:lang w:bidi="ar"/>
              </w:rPr>
              <w:t>平方米</w:t>
            </w:r>
            <w:r>
              <w:rPr>
                <w:rFonts w:hint="eastAsia" w:ascii="宋体" w:hAnsi="宋体" w:eastAsia="宋体" w:cs="宋体"/>
                <w:color w:val="auto"/>
                <w:sz w:val="24"/>
                <w:szCs w:val="24"/>
                <w:highlight w:val="none"/>
                <w:lang w:val="en-US" w:eastAsia="zh-CN" w:bidi="ar"/>
              </w:rPr>
              <w:t>，与经营场所不相连的外设仓库、冷库等不计</w:t>
            </w:r>
            <w:r>
              <w:rPr>
                <w:rFonts w:hint="eastAsia" w:ascii="宋体" w:hAnsi="宋体" w:eastAsia="宋体" w:cs="宋体"/>
                <w:color w:val="auto"/>
                <w:sz w:val="24"/>
                <w:szCs w:val="24"/>
                <w:highlight w:val="none"/>
                <w:lang w:val="zh-CN" w:eastAsia="zh-CN" w:bidi="ar"/>
              </w:rPr>
              <w:t>固定仓储、冷库设施必须与实际固定经营场所一致，且为《食品经营许可证》中的地址。后续食材配送均必须从接受现场考察的固定仓储、冷库设施出发。</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提供承诺函</w:t>
            </w:r>
            <w:r>
              <w:rPr>
                <w:rFonts w:hint="eastAsia" w:ascii="宋体" w:hAnsi="宋体" w:eastAsia="宋体" w:cs="宋体"/>
                <w:color w:val="auto"/>
                <w:sz w:val="24"/>
                <w:szCs w:val="24"/>
                <w:highlight w:val="none"/>
                <w:lang w:eastAsia="zh-CN" w:bidi="ar"/>
              </w:rPr>
              <w:t>）</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48E31614">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现场</w:t>
            </w:r>
            <w:r>
              <w:rPr>
                <w:rFonts w:hint="eastAsia" w:ascii="宋体" w:hAnsi="宋体" w:eastAsia="宋体" w:cs="宋体"/>
                <w:color w:val="auto"/>
                <w:sz w:val="24"/>
                <w:szCs w:val="24"/>
                <w:highlight w:val="none"/>
              </w:rPr>
              <w:t>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3FA9579A">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p>
          <w:p w14:paraId="7002EDD3">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实测</w:t>
            </w:r>
          </w:p>
          <w:p w14:paraId="0EB3C355">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平方米</w:t>
            </w:r>
          </w:p>
          <w:p w14:paraId="0C530D83">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w:t>
            </w:r>
          </w:p>
        </w:tc>
      </w:tr>
      <w:tr w14:paraId="6DDDFBB5">
        <w:tblPrEx>
          <w:tblCellMar>
            <w:top w:w="0" w:type="dxa"/>
            <w:left w:w="108" w:type="dxa"/>
            <w:bottom w:w="0" w:type="dxa"/>
            <w:right w:w="108" w:type="dxa"/>
          </w:tblCellMar>
        </w:tblPrEx>
        <w:trPr>
          <w:trHeight w:val="3112"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3DEE55F9">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bidi="ar"/>
              </w:rPr>
              <w:t>7</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2F0A95A1">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*经营场所在</w:t>
            </w:r>
            <w:r>
              <w:rPr>
                <w:rFonts w:hint="eastAsia" w:ascii="宋体" w:hAnsi="宋体" w:eastAsia="宋体" w:cs="宋体"/>
                <w:color w:val="auto"/>
                <w:sz w:val="24"/>
                <w:szCs w:val="24"/>
                <w:highlight w:val="none"/>
                <w:lang w:val="en-US" w:eastAsia="zh-CN" w:bidi="ar"/>
              </w:rPr>
              <w:t>80</w:t>
            </w:r>
            <w:r>
              <w:rPr>
                <w:rFonts w:hint="eastAsia" w:ascii="宋体" w:hAnsi="宋体" w:eastAsia="宋体" w:cs="宋体"/>
                <w:color w:val="auto"/>
                <w:sz w:val="24"/>
                <w:szCs w:val="24"/>
                <w:highlight w:val="none"/>
                <w:lang w:bidi="ar"/>
              </w:rPr>
              <w:t>公里内</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（参照地：</w:t>
            </w:r>
          </w:p>
          <w:p w14:paraId="4F893B6F">
            <w:pPr>
              <w:keepNext w:val="0"/>
              <w:keepLines w:val="0"/>
              <w:numPr>
                <w:ilvl w:val="0"/>
                <w:numId w:val="0"/>
              </w:numPr>
              <w:suppressLineNumbers w:val="0"/>
              <w:spacing w:before="0" w:beforeAutospacing="0" w:after="0" w:afterAutospacing="0" w:line="240" w:lineRule="auto"/>
              <w:ind w:left="0" w:right="0"/>
              <w:jc w:val="left"/>
              <w:textAlignment w:val="center"/>
              <w:rPr>
                <w:rFonts w:hint="eastAsia" w:ascii="宋体" w:hAnsi="宋体" w:eastAsia="宋体" w:cs="宋体"/>
                <w:color w:val="auto"/>
                <w:sz w:val="24"/>
                <w:szCs w:val="24"/>
                <w:highlight w:val="none"/>
                <w:lang w:bidi="ar"/>
              </w:rPr>
            </w:pPr>
            <w:r>
              <w:rPr>
                <w:rFonts w:hint="eastAsia" w:ascii="宋体" w:hAnsi="宋体" w:cs="宋体"/>
                <w:color w:val="auto"/>
                <w:sz w:val="24"/>
                <w:szCs w:val="24"/>
                <w:highlight w:val="none"/>
                <w:lang w:val="en-US" w:eastAsia="zh-CN" w:bidi="ar"/>
              </w:rPr>
              <w:t>1.</w:t>
            </w:r>
            <w:r>
              <w:rPr>
                <w:rFonts w:hint="eastAsia" w:ascii="宋体" w:hAnsi="宋体" w:eastAsia="宋体" w:cs="宋体"/>
                <w:color w:val="auto"/>
                <w:sz w:val="24"/>
                <w:szCs w:val="24"/>
                <w:highlight w:val="none"/>
                <w:lang w:bidi="ar"/>
              </w:rPr>
              <w:t>苏州市姑苏区东环第二幼儿园</w:t>
            </w:r>
          </w:p>
          <w:p w14:paraId="64334B66">
            <w:pPr>
              <w:keepNext w:val="0"/>
              <w:keepLines w:val="0"/>
              <w:numPr>
                <w:ilvl w:val="0"/>
                <w:numId w:val="0"/>
              </w:numPr>
              <w:suppressLineNumbers w:val="0"/>
              <w:spacing w:before="0" w:beforeAutospacing="0" w:after="0" w:afterAutospacing="0" w:line="240" w:lineRule="auto"/>
              <w:ind w:left="0" w:right="0"/>
              <w:jc w:val="left"/>
              <w:textAlignment w:val="center"/>
              <w:rPr>
                <w:rFonts w:hint="eastAsia" w:ascii="宋体" w:hAnsi="宋体" w:eastAsia="宋体" w:cs="宋体"/>
                <w:color w:val="auto"/>
                <w:sz w:val="24"/>
                <w:szCs w:val="24"/>
                <w:highlight w:val="none"/>
                <w:lang w:bidi="ar"/>
              </w:rPr>
            </w:pPr>
            <w:r>
              <w:rPr>
                <w:rFonts w:hint="eastAsia" w:ascii="宋体" w:hAnsi="宋体" w:cs="宋体"/>
                <w:color w:val="auto"/>
                <w:sz w:val="24"/>
                <w:szCs w:val="24"/>
                <w:highlight w:val="none"/>
                <w:lang w:val="en-US" w:eastAsia="zh-CN" w:bidi="ar"/>
              </w:rPr>
              <w:t>2.</w:t>
            </w:r>
            <w:r>
              <w:rPr>
                <w:rFonts w:hint="eastAsia" w:ascii="宋体" w:hAnsi="宋体" w:eastAsia="宋体" w:cs="宋体"/>
                <w:color w:val="auto"/>
                <w:sz w:val="24"/>
                <w:szCs w:val="24"/>
                <w:highlight w:val="none"/>
                <w:lang w:bidi="ar"/>
              </w:rPr>
              <w:t>苏州市沧浪新城第四实验小学校</w:t>
            </w:r>
          </w:p>
          <w:p w14:paraId="06BB5D06">
            <w:pPr>
              <w:keepNext w:val="0"/>
              <w:keepLines w:val="0"/>
              <w:numPr>
                <w:ilvl w:val="0"/>
                <w:numId w:val="0"/>
              </w:numPr>
              <w:suppressLineNumbers w:val="0"/>
              <w:spacing w:before="0" w:beforeAutospacing="0" w:after="0" w:afterAutospacing="0" w:line="240" w:lineRule="auto"/>
              <w:ind w:left="0" w:right="0"/>
              <w:jc w:val="left"/>
              <w:textAlignment w:val="center"/>
              <w:rPr>
                <w:rFonts w:hint="eastAsia" w:ascii="宋体" w:hAnsi="宋体" w:eastAsia="宋体" w:cs="宋体"/>
                <w:color w:val="auto"/>
                <w:sz w:val="24"/>
                <w:szCs w:val="24"/>
                <w:highlight w:val="none"/>
                <w:lang w:bidi="ar"/>
              </w:rPr>
            </w:pPr>
            <w:r>
              <w:rPr>
                <w:rFonts w:hint="eastAsia" w:ascii="宋体" w:hAnsi="宋体" w:cs="宋体"/>
                <w:color w:val="auto"/>
                <w:sz w:val="24"/>
                <w:szCs w:val="24"/>
                <w:highlight w:val="none"/>
                <w:lang w:val="en-US" w:eastAsia="zh-CN" w:bidi="ar"/>
              </w:rPr>
              <w:t>3.</w:t>
            </w:r>
            <w:r>
              <w:rPr>
                <w:rFonts w:hint="eastAsia" w:ascii="宋体" w:hAnsi="宋体" w:eastAsia="宋体" w:cs="宋体"/>
                <w:color w:val="auto"/>
                <w:sz w:val="24"/>
                <w:szCs w:val="24"/>
                <w:highlight w:val="none"/>
                <w:lang w:bidi="ar"/>
              </w:rPr>
              <w:t>苏州市阳光城实验小学校</w:t>
            </w:r>
          </w:p>
          <w:p w14:paraId="11E78E24">
            <w:pPr>
              <w:keepNext w:val="0"/>
              <w:keepLines w:val="0"/>
              <w:numPr>
                <w:ilvl w:val="0"/>
                <w:numId w:val="0"/>
              </w:numPr>
              <w:suppressLineNumbers w:val="0"/>
              <w:spacing w:before="0" w:beforeAutospacing="0" w:after="0" w:afterAutospacing="0" w:line="240" w:lineRule="auto"/>
              <w:ind w:left="0" w:right="0"/>
              <w:jc w:val="left"/>
              <w:textAlignment w:val="center"/>
              <w:rPr>
                <w:rFonts w:hint="eastAsia" w:ascii="宋体" w:hAnsi="宋体" w:eastAsia="宋体" w:cs="宋体"/>
                <w:color w:val="auto"/>
                <w:sz w:val="24"/>
                <w:szCs w:val="24"/>
                <w:highlight w:val="none"/>
                <w:lang w:bidi="ar"/>
              </w:rPr>
            </w:pPr>
            <w:r>
              <w:rPr>
                <w:rFonts w:hint="eastAsia" w:ascii="宋体" w:hAnsi="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苏州市姑苏区常青实验幼儿园</w:t>
            </w:r>
            <w:r>
              <w:rPr>
                <w:rFonts w:hint="eastAsia" w:ascii="宋体" w:hAnsi="宋体" w:eastAsia="宋体" w:cs="宋体"/>
                <w:color w:val="auto"/>
                <w:sz w:val="24"/>
                <w:szCs w:val="24"/>
                <w:highlight w:val="none"/>
                <w:lang w:val="en-US" w:eastAsia="zh-CN" w:bidi="ar"/>
              </w:rPr>
              <w:t>的配送距离均</w:t>
            </w:r>
            <w:r>
              <w:rPr>
                <w:rFonts w:hint="eastAsia" w:ascii="宋体" w:hAnsi="宋体" w:eastAsia="宋体" w:cs="宋体"/>
                <w:color w:val="auto"/>
                <w:sz w:val="24"/>
                <w:szCs w:val="24"/>
                <w:highlight w:val="none"/>
                <w:lang w:eastAsia="zh-CN" w:bidi="ar"/>
              </w:rPr>
              <w:t>不</w:t>
            </w:r>
            <w:r>
              <w:rPr>
                <w:rFonts w:hint="eastAsia" w:ascii="宋体" w:hAnsi="宋体" w:eastAsia="宋体" w:cs="宋体"/>
                <w:color w:val="auto"/>
                <w:sz w:val="24"/>
                <w:szCs w:val="24"/>
                <w:highlight w:val="none"/>
                <w:lang w:val="en-US" w:eastAsia="zh-CN" w:bidi="ar"/>
              </w:rPr>
              <w:t>得</w:t>
            </w:r>
            <w:r>
              <w:rPr>
                <w:rFonts w:hint="eastAsia" w:ascii="宋体" w:hAnsi="宋体" w:eastAsia="宋体" w:cs="宋体"/>
                <w:color w:val="auto"/>
                <w:sz w:val="24"/>
                <w:szCs w:val="24"/>
                <w:highlight w:val="none"/>
                <w:lang w:eastAsia="zh-CN" w:bidi="ar"/>
              </w:rPr>
              <w:t>超过</w:t>
            </w:r>
            <w:r>
              <w:rPr>
                <w:rFonts w:hint="eastAsia" w:ascii="宋体" w:hAnsi="宋体" w:eastAsia="宋体" w:cs="宋体"/>
                <w:color w:val="auto"/>
                <w:sz w:val="24"/>
                <w:szCs w:val="24"/>
                <w:highlight w:val="none"/>
                <w:lang w:val="en-US" w:eastAsia="zh-CN" w:bidi="ar"/>
              </w:rPr>
              <w:t>80</w:t>
            </w:r>
            <w:r>
              <w:rPr>
                <w:rFonts w:hint="eastAsia" w:ascii="宋体" w:hAnsi="宋体" w:eastAsia="宋体" w:cs="宋体"/>
                <w:color w:val="auto"/>
                <w:sz w:val="24"/>
                <w:szCs w:val="24"/>
                <w:highlight w:val="none"/>
                <w:lang w:bidi="ar"/>
              </w:rPr>
              <w:t>公里以最</w:t>
            </w:r>
            <w:r>
              <w:rPr>
                <w:rFonts w:hint="eastAsia" w:ascii="宋体" w:hAnsi="宋体" w:cs="宋体"/>
                <w:color w:val="auto"/>
                <w:sz w:val="24"/>
                <w:szCs w:val="24"/>
                <w:highlight w:val="none"/>
                <w:lang w:val="en-US" w:eastAsia="zh-CN" w:bidi="ar"/>
              </w:rPr>
              <w:t>近</w:t>
            </w:r>
            <w:r>
              <w:rPr>
                <w:rFonts w:hint="eastAsia" w:ascii="宋体" w:hAnsi="宋体" w:eastAsia="宋体" w:cs="宋体"/>
                <w:color w:val="auto"/>
                <w:sz w:val="24"/>
                <w:szCs w:val="24"/>
                <w:highlight w:val="none"/>
                <w:lang w:bidi="ar"/>
              </w:rPr>
              <w:t>线路距离计，提供百度或高德地图的最短线路距离截图。）</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70385D92">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rPr>
              <w:t>现场核查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6DC675A2">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实测</w:t>
            </w:r>
            <w:r>
              <w:rPr>
                <w:rFonts w:hint="eastAsia" w:ascii="宋体" w:hAnsi="宋体" w:eastAsia="宋体" w:cs="宋体"/>
                <w:color w:val="auto"/>
                <w:spacing w:val="-6"/>
                <w:sz w:val="24"/>
                <w:szCs w:val="24"/>
                <w:highlight w:val="none"/>
              </w:rPr>
              <w:t>距离</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sz w:val="24"/>
                <w:szCs w:val="24"/>
                <w:highlight w:val="none"/>
                <w:lang w:val="en-US" w:eastAsia="zh-CN"/>
              </w:rPr>
              <w:t>公里</w:t>
            </w:r>
          </w:p>
          <w:p w14:paraId="6A9BB564">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实测</w:t>
            </w:r>
            <w:r>
              <w:rPr>
                <w:rFonts w:hint="eastAsia" w:ascii="宋体" w:hAnsi="宋体" w:eastAsia="宋体" w:cs="宋体"/>
                <w:color w:val="auto"/>
                <w:spacing w:val="-6"/>
                <w:sz w:val="24"/>
                <w:szCs w:val="24"/>
                <w:highlight w:val="none"/>
              </w:rPr>
              <w:t>距离</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sz w:val="24"/>
                <w:szCs w:val="24"/>
                <w:highlight w:val="none"/>
                <w:lang w:val="en-US" w:eastAsia="zh-CN"/>
              </w:rPr>
              <w:t>公里</w:t>
            </w:r>
          </w:p>
          <w:p w14:paraId="5602A0A2">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实测</w:t>
            </w:r>
            <w:r>
              <w:rPr>
                <w:rFonts w:hint="eastAsia" w:ascii="宋体" w:hAnsi="宋体" w:eastAsia="宋体" w:cs="宋体"/>
                <w:color w:val="auto"/>
                <w:spacing w:val="-6"/>
                <w:sz w:val="24"/>
                <w:szCs w:val="24"/>
                <w:highlight w:val="none"/>
              </w:rPr>
              <w:t>距离</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sz w:val="24"/>
                <w:szCs w:val="24"/>
                <w:highlight w:val="none"/>
                <w:lang w:val="en-US" w:eastAsia="zh-CN"/>
              </w:rPr>
              <w:t>公里</w:t>
            </w:r>
          </w:p>
          <w:p w14:paraId="26492BCD">
            <w:pPr>
              <w:keepNext w:val="0"/>
              <w:keepLines w:val="0"/>
              <w:suppressLineNumbers w:val="0"/>
              <w:spacing w:before="0" w:beforeAutospacing="0" w:after="0" w:afterAutospacing="0" w:line="240" w:lineRule="auto"/>
              <w:ind w:left="0" w:leftChars="0" w:right="0" w:firstLine="0" w:firstLineChars="0"/>
              <w:jc w:val="both"/>
              <w:rPr>
                <w:rFonts w:hint="default" w:ascii="宋体" w:hAnsi="宋体" w:eastAsia="宋体" w:cs="宋体"/>
                <w:color w:val="auto"/>
                <w:spacing w:val="-6"/>
                <w:sz w:val="24"/>
                <w:szCs w:val="24"/>
                <w:highlight w:val="none"/>
                <w:lang w:val="en-US" w:eastAsia="zh-CN"/>
              </w:rPr>
            </w:pPr>
            <w:r>
              <w:rPr>
                <w:rFonts w:hint="eastAsia" w:ascii="宋体" w:hAnsi="宋体" w:cs="宋体"/>
                <w:color w:val="auto"/>
                <w:spacing w:val="-6"/>
                <w:sz w:val="24"/>
                <w:szCs w:val="24"/>
                <w:highlight w:val="none"/>
                <w:lang w:val="en-US" w:eastAsia="zh-CN"/>
              </w:rPr>
              <w:t>4.</w:t>
            </w:r>
            <w:r>
              <w:rPr>
                <w:rFonts w:hint="eastAsia" w:ascii="宋体" w:hAnsi="宋体" w:eastAsia="宋体" w:cs="宋体"/>
                <w:color w:val="auto"/>
                <w:sz w:val="24"/>
                <w:szCs w:val="24"/>
                <w:highlight w:val="none"/>
              </w:rPr>
              <w:t>实测</w:t>
            </w:r>
            <w:r>
              <w:rPr>
                <w:rFonts w:hint="eastAsia" w:ascii="宋体" w:hAnsi="宋体" w:eastAsia="宋体" w:cs="宋体"/>
                <w:color w:val="auto"/>
                <w:spacing w:val="-6"/>
                <w:sz w:val="24"/>
                <w:szCs w:val="24"/>
                <w:highlight w:val="none"/>
              </w:rPr>
              <w:t>距离</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pacing w:val="-6"/>
                <w:sz w:val="24"/>
                <w:szCs w:val="24"/>
                <w:highlight w:val="none"/>
                <w:lang w:val="en-US" w:eastAsia="zh-CN"/>
              </w:rPr>
              <w:t>公里</w:t>
            </w:r>
          </w:p>
          <w:p w14:paraId="54C1A37B">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lang w:eastAsia="zh-CN"/>
              </w:rPr>
            </w:pPr>
          </w:p>
          <w:p w14:paraId="2F287148">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符合</w:t>
            </w:r>
          </w:p>
          <w:p w14:paraId="75C60633">
            <w:pPr>
              <w:pStyle w:val="11"/>
              <w:keepNext w:val="0"/>
              <w:keepLines w:val="0"/>
              <w:pageBreakBefore w:val="0"/>
              <w:widowControl/>
              <w:suppressLineNumbers w:val="0"/>
              <w:kinsoku w:val="0"/>
              <w:wordWrap/>
              <w:overflowPunct/>
              <w:topLinePunct w:val="0"/>
              <w:autoSpaceDE w:val="0"/>
              <w:autoSpaceDN w:val="0"/>
              <w:bidi w:val="0"/>
              <w:adjustRightInd w:val="0"/>
              <w:snapToGrid w:val="0"/>
              <w:spacing w:before="78" w:beforeAutospacing="0" w:after="0" w:afterAutospacing="0" w:line="320" w:lineRule="exact"/>
              <w:ind w:left="0" w:leftChars="0" w:right="0" w:rightChars="0" w:firstLine="0" w:firstLineChars="0"/>
              <w:jc w:val="both"/>
              <w:textAlignment w:val="baseline"/>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rPr>
              <w:t>□不符合</w:t>
            </w:r>
          </w:p>
        </w:tc>
      </w:tr>
      <w:tr w14:paraId="35C2788A">
        <w:tblPrEx>
          <w:tblCellMar>
            <w:top w:w="0" w:type="dxa"/>
            <w:left w:w="108" w:type="dxa"/>
            <w:bottom w:w="0" w:type="dxa"/>
            <w:right w:w="108" w:type="dxa"/>
          </w:tblCellMar>
        </w:tblPrEx>
        <w:trPr>
          <w:trHeight w:val="678"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7A332BE3">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bidi="ar"/>
              </w:rPr>
              <w:t>8</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4620059E">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*经营场所</w:t>
            </w:r>
            <w:r>
              <w:rPr>
                <w:rFonts w:hint="eastAsia" w:ascii="宋体" w:hAnsi="宋体" w:eastAsia="宋体" w:cs="宋体"/>
                <w:color w:val="auto"/>
                <w:sz w:val="24"/>
                <w:szCs w:val="24"/>
                <w:highlight w:val="none"/>
                <w:lang w:val="en-US" w:eastAsia="zh-CN" w:bidi="ar"/>
              </w:rPr>
              <w:t>25</w:t>
            </w:r>
            <w:r>
              <w:rPr>
                <w:rFonts w:hint="eastAsia" w:ascii="宋体" w:hAnsi="宋体" w:eastAsia="宋体" w:cs="宋体"/>
                <w:color w:val="auto"/>
                <w:sz w:val="24"/>
                <w:szCs w:val="24"/>
                <w:highlight w:val="none"/>
                <w:lang w:bidi="ar"/>
              </w:rPr>
              <w:t>米（含）内无粉尘、垃圾、厕所等污染源</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7FDA2057">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rPr>
              <w:t>现场核查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3A77B378">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p>
          <w:p w14:paraId="415E593D">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w:t>
            </w:r>
          </w:p>
        </w:tc>
      </w:tr>
      <w:tr w14:paraId="56FAFC24">
        <w:tblPrEx>
          <w:tblCellMar>
            <w:top w:w="0" w:type="dxa"/>
            <w:left w:w="108" w:type="dxa"/>
            <w:bottom w:w="0" w:type="dxa"/>
            <w:right w:w="108" w:type="dxa"/>
          </w:tblCellMar>
        </w:tblPrEx>
        <w:trPr>
          <w:trHeight w:val="1351"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10563566">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eastAsia="zh-CN" w:bidi="ar"/>
              </w:rPr>
            </w:pPr>
            <w:r>
              <w:rPr>
                <w:rFonts w:hint="eastAsia" w:ascii="宋体" w:hAnsi="宋体" w:eastAsia="宋体" w:cs="宋体"/>
                <w:color w:val="auto"/>
                <w:sz w:val="24"/>
                <w:szCs w:val="24"/>
                <w:highlight w:val="none"/>
                <w:lang w:val="en-US" w:eastAsia="zh-CN" w:bidi="ar"/>
              </w:rPr>
              <w:t>9</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0426C44A">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*冷冻库容积</w:t>
            </w:r>
            <w:r>
              <w:rPr>
                <w:rFonts w:hint="eastAsia" w:ascii="宋体" w:hAnsi="宋体" w:eastAsia="宋体" w:cs="宋体"/>
                <w:color w:val="auto"/>
                <w:sz w:val="24"/>
                <w:szCs w:val="24"/>
                <w:highlight w:val="none"/>
                <w:lang w:val="en-US" w:eastAsia="zh-CN" w:bidi="ar"/>
              </w:rPr>
              <w:t>至少500</w:t>
            </w:r>
            <w:r>
              <w:rPr>
                <w:rFonts w:hint="eastAsia" w:ascii="宋体" w:hAnsi="宋体" w:eastAsia="宋体" w:cs="宋体"/>
                <w:color w:val="auto"/>
                <w:sz w:val="24"/>
                <w:szCs w:val="24"/>
                <w:highlight w:val="none"/>
                <w:lang w:bidi="ar"/>
              </w:rPr>
              <w:t>立方米，温度</w:t>
            </w:r>
            <w:r>
              <w:rPr>
                <w:rFonts w:hint="eastAsia" w:ascii="宋体" w:hAnsi="宋体" w:eastAsia="宋体" w:cs="宋体"/>
                <w:color w:val="auto"/>
                <w:sz w:val="24"/>
                <w:szCs w:val="24"/>
                <w:highlight w:val="none"/>
                <w:lang w:val="en-US" w:eastAsia="zh-CN" w:bidi="ar"/>
              </w:rPr>
              <w:t>稳定在</w:t>
            </w:r>
            <w:r>
              <w:rPr>
                <w:rFonts w:hint="eastAsia" w:ascii="宋体" w:hAnsi="宋体" w:eastAsia="宋体" w:cs="宋体"/>
                <w:color w:val="auto"/>
                <w:sz w:val="24"/>
                <w:szCs w:val="24"/>
                <w:highlight w:val="none"/>
                <w:lang w:bidi="ar"/>
              </w:rPr>
              <w:t>-18℃以下，有温度记录仪</w:t>
            </w:r>
            <w:r>
              <w:rPr>
                <w:rFonts w:hint="eastAsia" w:ascii="宋体" w:hAnsi="宋体" w:eastAsia="宋体" w:cs="宋体"/>
                <w:color w:val="auto"/>
                <w:sz w:val="24"/>
                <w:szCs w:val="24"/>
                <w:highlight w:val="none"/>
                <w:lang w:val="en-US" w:eastAsia="zh-CN" w:bidi="ar"/>
              </w:rPr>
              <w:t>注：冷藏库和冷冻库内，肉类、蔬菜等应分区、分容器或独立包装存放，禁止混放。不同类别的食品不得直接接触，并应采取物理隔离措施防止交叉污染。）</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7AD7BB35">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现场核查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2C9838B1">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实测</w:t>
            </w:r>
            <w:r>
              <w:rPr>
                <w:rFonts w:hint="eastAsia" w:ascii="宋体" w:hAnsi="宋体" w:eastAsia="宋体" w:cs="宋体"/>
                <w:color w:val="auto"/>
                <w:sz w:val="24"/>
                <w:szCs w:val="24"/>
                <w:highlight w:val="none"/>
                <w:lang w:eastAsia="zh-CN"/>
              </w:rPr>
              <w:t>：</w:t>
            </w:r>
          </w:p>
          <w:p w14:paraId="08D09B30">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立</w:t>
            </w:r>
            <w:r>
              <w:rPr>
                <w:rFonts w:hint="eastAsia" w:ascii="宋体" w:hAnsi="宋体" w:eastAsia="宋体" w:cs="宋体"/>
                <w:color w:val="auto"/>
                <w:sz w:val="24"/>
                <w:szCs w:val="24"/>
                <w:highlight w:val="none"/>
              </w:rPr>
              <w:t>方米</w:t>
            </w:r>
          </w:p>
          <w:p w14:paraId="4E0632E0">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符合</w:t>
            </w:r>
          </w:p>
          <w:p w14:paraId="458075AC">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w:t>
            </w:r>
          </w:p>
        </w:tc>
      </w:tr>
      <w:tr w14:paraId="0A8C03C2">
        <w:tblPrEx>
          <w:tblCellMar>
            <w:top w:w="0" w:type="dxa"/>
            <w:left w:w="108" w:type="dxa"/>
            <w:bottom w:w="0" w:type="dxa"/>
            <w:right w:w="108" w:type="dxa"/>
          </w:tblCellMar>
        </w:tblPrEx>
        <w:trPr>
          <w:trHeight w:val="1276"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0C1CBA86">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10</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1677CCF4">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冷藏</w:t>
            </w:r>
            <w:r>
              <w:rPr>
                <w:rFonts w:hint="eastAsia" w:ascii="宋体" w:hAnsi="宋体" w:eastAsia="宋体" w:cs="宋体"/>
                <w:color w:val="auto"/>
                <w:sz w:val="24"/>
                <w:szCs w:val="24"/>
                <w:highlight w:val="none"/>
                <w:lang w:bidi="ar"/>
              </w:rPr>
              <w:t>库容积</w:t>
            </w:r>
            <w:r>
              <w:rPr>
                <w:rFonts w:hint="eastAsia" w:ascii="宋体" w:hAnsi="宋体" w:eastAsia="宋体" w:cs="宋体"/>
                <w:color w:val="auto"/>
                <w:sz w:val="24"/>
                <w:szCs w:val="24"/>
                <w:highlight w:val="none"/>
                <w:lang w:val="en-US" w:eastAsia="zh-CN" w:bidi="ar"/>
              </w:rPr>
              <w:t>至少300</w:t>
            </w:r>
            <w:r>
              <w:rPr>
                <w:rFonts w:hint="eastAsia" w:ascii="宋体" w:hAnsi="宋体" w:eastAsia="宋体" w:cs="宋体"/>
                <w:color w:val="auto"/>
                <w:sz w:val="24"/>
                <w:szCs w:val="24"/>
                <w:highlight w:val="none"/>
                <w:lang w:bidi="ar"/>
              </w:rPr>
              <w:t>立方米，温度</w:t>
            </w:r>
            <w:r>
              <w:rPr>
                <w:rFonts w:hint="eastAsia" w:ascii="宋体" w:hAnsi="宋体" w:eastAsia="宋体" w:cs="宋体"/>
                <w:color w:val="auto"/>
                <w:sz w:val="24"/>
                <w:szCs w:val="24"/>
                <w:highlight w:val="none"/>
                <w:lang w:val="en-US" w:eastAsia="zh-CN" w:bidi="ar"/>
              </w:rPr>
              <w:t>稳定在</w:t>
            </w:r>
            <w:r>
              <w:rPr>
                <w:rFonts w:hint="eastAsia" w:ascii="宋体" w:hAnsi="宋体" w:eastAsia="宋体" w:cs="宋体"/>
                <w:color w:val="auto"/>
                <w:sz w:val="24"/>
                <w:szCs w:val="24"/>
                <w:highlight w:val="none"/>
                <w:lang w:bidi="ar"/>
              </w:rPr>
              <w:t>0-4℃，有温度记录仪</w:t>
            </w:r>
            <w:r>
              <w:rPr>
                <w:rFonts w:hint="eastAsia" w:ascii="宋体" w:hAnsi="宋体" w:eastAsia="宋体" w:cs="宋体"/>
                <w:color w:val="auto"/>
                <w:sz w:val="24"/>
                <w:szCs w:val="24"/>
                <w:highlight w:val="none"/>
                <w:lang w:val="en-US" w:eastAsia="zh-CN" w:bidi="ar"/>
              </w:rPr>
              <w:t>注：冷藏库和冷冻库内，肉类、蔬菜等应分区、分容器或独立包装存放，禁止混放。不同类别的食品不得直接接触，并应采取物理隔离措施防止交叉污染。）</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05BAF25E">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bidi="ar"/>
              </w:rPr>
              <w:t>现场核查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5FD40824">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实测</w:t>
            </w:r>
            <w:r>
              <w:rPr>
                <w:rFonts w:hint="eastAsia" w:ascii="宋体" w:hAnsi="宋体" w:eastAsia="宋体" w:cs="宋体"/>
                <w:color w:val="auto"/>
                <w:sz w:val="24"/>
                <w:szCs w:val="24"/>
                <w:highlight w:val="none"/>
                <w:lang w:eastAsia="zh-CN"/>
              </w:rPr>
              <w:t>：</w:t>
            </w:r>
          </w:p>
          <w:p w14:paraId="518178F5">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立</w:t>
            </w:r>
            <w:r>
              <w:rPr>
                <w:rFonts w:hint="eastAsia" w:ascii="宋体" w:hAnsi="宋体" w:eastAsia="宋体" w:cs="宋体"/>
                <w:color w:val="auto"/>
                <w:sz w:val="24"/>
                <w:szCs w:val="24"/>
                <w:highlight w:val="none"/>
              </w:rPr>
              <w:t>方米</w:t>
            </w:r>
          </w:p>
          <w:p w14:paraId="27E466CC">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p>
          <w:p w14:paraId="520E76CA">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符合</w:t>
            </w:r>
          </w:p>
          <w:p w14:paraId="541E3BAA">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□不符合</w:t>
            </w:r>
          </w:p>
        </w:tc>
      </w:tr>
      <w:tr w14:paraId="6F6B6AF4">
        <w:tblPrEx>
          <w:tblCellMar>
            <w:top w:w="0" w:type="dxa"/>
            <w:left w:w="108" w:type="dxa"/>
            <w:bottom w:w="0" w:type="dxa"/>
            <w:right w:w="108" w:type="dxa"/>
          </w:tblCellMar>
        </w:tblPrEx>
        <w:trPr>
          <w:trHeight w:val="2256"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1CC72E3B">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11</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7CC7EFCF">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pacing w:val="-1"/>
                <w:kern w:val="2"/>
                <w:sz w:val="24"/>
                <w:szCs w:val="24"/>
                <w:highlight w:val="none"/>
                <w:lang w:val="en-US" w:eastAsia="zh-CN" w:bidi="ar-SA"/>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服务于本地区的</w:t>
            </w:r>
            <w:r>
              <w:rPr>
                <w:rFonts w:hint="eastAsia" w:ascii="宋体" w:hAnsi="宋体" w:eastAsia="宋体" w:cs="宋体"/>
                <w:color w:val="auto"/>
                <w:sz w:val="24"/>
                <w:szCs w:val="24"/>
                <w:highlight w:val="none"/>
                <w:lang w:val="zh-CN" w:bidi="zh-CN"/>
              </w:rPr>
              <w:t>固定员工人数</w:t>
            </w:r>
            <w:r>
              <w:rPr>
                <w:rFonts w:hint="eastAsia" w:ascii="宋体" w:hAnsi="宋体" w:eastAsia="宋体" w:cs="宋体"/>
                <w:color w:val="auto"/>
                <w:sz w:val="24"/>
                <w:szCs w:val="24"/>
                <w:highlight w:val="none"/>
                <w:lang w:val="en-US" w:bidi="zh-CN"/>
              </w:rPr>
              <w:t>至少</w:t>
            </w:r>
            <w:r>
              <w:rPr>
                <w:rFonts w:hint="eastAsia" w:ascii="宋体" w:hAnsi="宋体" w:eastAsia="宋体" w:cs="宋体"/>
                <w:color w:val="auto"/>
                <w:kern w:val="0"/>
                <w:sz w:val="24"/>
                <w:szCs w:val="24"/>
                <w:highlight w:val="none"/>
                <w:lang w:val="en-US" w:eastAsia="zh-CN"/>
              </w:rPr>
              <w:t>12</w:t>
            </w:r>
            <w:r>
              <w:rPr>
                <w:rFonts w:hint="eastAsia" w:ascii="宋体" w:hAnsi="宋体" w:eastAsia="宋体" w:cs="宋体"/>
                <w:color w:val="auto"/>
                <w:sz w:val="24"/>
                <w:szCs w:val="24"/>
                <w:highlight w:val="none"/>
                <w:lang w:val="zh-CN" w:bidi="zh-CN"/>
              </w:rPr>
              <w:t>人</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1F1789F1">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z w:val="24"/>
                <w:szCs w:val="24"/>
                <w:highlight w:val="none"/>
                <w:lang w:val="en-US" w:eastAsia="zh-CN" w:bidi="zh-CN"/>
              </w:rPr>
            </w:pPr>
            <w:r>
              <w:rPr>
                <w:rFonts w:hint="eastAsia" w:ascii="宋体" w:hAnsi="宋体" w:eastAsia="宋体" w:cs="宋体"/>
                <w:b w:val="0"/>
                <w:bCs w:val="0"/>
                <w:color w:val="auto"/>
                <w:sz w:val="24"/>
                <w:szCs w:val="24"/>
                <w:highlight w:val="none"/>
                <w:u w:val="none"/>
                <w:lang w:val="en-US" w:bidi="zh-CN"/>
              </w:rPr>
              <w:t>提供服务于本项目的固定人员统计表（包括但不限于姓名、身份证号等），</w:t>
            </w:r>
            <w:r>
              <w:rPr>
                <w:rFonts w:hint="eastAsia" w:ascii="宋体" w:hAnsi="宋体" w:eastAsia="宋体" w:cs="宋体"/>
                <w:b w:val="0"/>
                <w:bCs w:val="0"/>
                <w:color w:val="auto"/>
                <w:sz w:val="24"/>
                <w:szCs w:val="24"/>
                <w:highlight w:val="none"/>
                <w:u w:val="none"/>
                <w:lang w:val="en-US" w:eastAsia="zh-CN" w:bidi="zh-CN"/>
              </w:rPr>
              <w:t>并现场</w:t>
            </w:r>
            <w:r>
              <w:rPr>
                <w:rFonts w:hint="eastAsia" w:ascii="宋体" w:hAnsi="宋体" w:eastAsia="宋体" w:cs="宋体"/>
                <w:b w:val="0"/>
                <w:bCs w:val="0"/>
                <w:color w:val="auto"/>
                <w:sz w:val="24"/>
                <w:szCs w:val="24"/>
                <w:highlight w:val="none"/>
                <w:u w:val="none"/>
                <w:lang w:val="zh-CN" w:bidi="zh-CN"/>
              </w:rPr>
              <w:t>核查</w:t>
            </w:r>
            <w:r>
              <w:rPr>
                <w:rFonts w:hint="eastAsia" w:ascii="宋体" w:hAnsi="宋体" w:eastAsia="宋体" w:cs="宋体"/>
                <w:b w:val="0"/>
                <w:bCs w:val="0"/>
                <w:color w:val="auto"/>
                <w:sz w:val="24"/>
                <w:szCs w:val="24"/>
                <w:highlight w:val="none"/>
                <w:u w:val="none"/>
                <w:lang w:val="en-US" w:bidi="zh-CN"/>
              </w:rPr>
              <w:t>相关人员数量、</w:t>
            </w:r>
            <w:r>
              <w:rPr>
                <w:rFonts w:hint="eastAsia" w:ascii="宋体" w:hAnsi="宋体" w:eastAsia="宋体" w:cs="宋体"/>
                <w:b w:val="0"/>
                <w:bCs w:val="0"/>
                <w:color w:val="auto"/>
                <w:sz w:val="24"/>
                <w:szCs w:val="24"/>
                <w:highlight w:val="none"/>
                <w:u w:val="none"/>
                <w:lang w:val="zh-CN" w:bidi="zh-CN"/>
              </w:rPr>
              <w:t>近三个月</w:t>
            </w:r>
            <w:r>
              <w:rPr>
                <w:rFonts w:hint="eastAsia" w:ascii="宋体" w:hAnsi="宋体" w:eastAsia="宋体" w:cs="宋体"/>
                <w:b w:val="0"/>
                <w:bCs w:val="0"/>
                <w:color w:val="auto"/>
                <w:sz w:val="24"/>
                <w:szCs w:val="24"/>
                <w:highlight w:val="none"/>
                <w:u w:val="none"/>
                <w:lang w:val="en-US" w:bidi="zh-CN"/>
              </w:rPr>
              <w:t>及以上</w:t>
            </w:r>
            <w:r>
              <w:rPr>
                <w:rFonts w:hint="eastAsia" w:ascii="宋体" w:hAnsi="宋体" w:eastAsia="宋体" w:cs="宋体"/>
                <w:b w:val="0"/>
                <w:bCs w:val="0"/>
                <w:color w:val="auto"/>
                <w:sz w:val="24"/>
                <w:szCs w:val="24"/>
                <w:highlight w:val="none"/>
                <w:u w:val="none"/>
                <w:lang w:val="zh-CN" w:bidi="zh-CN"/>
              </w:rPr>
              <w:t>社保证明（成立不满一年的</w:t>
            </w:r>
            <w:r>
              <w:rPr>
                <w:rFonts w:hint="eastAsia" w:ascii="宋体" w:hAnsi="宋体" w:eastAsia="宋体" w:cs="宋体"/>
                <w:b w:val="0"/>
                <w:bCs w:val="0"/>
                <w:color w:val="auto"/>
                <w:sz w:val="24"/>
                <w:szCs w:val="24"/>
                <w:highlight w:val="none"/>
                <w:u w:val="none"/>
                <w:lang w:val="en-US" w:eastAsia="zh-CN" w:bidi="zh-CN"/>
              </w:rPr>
              <w:t>供应商可</w:t>
            </w:r>
            <w:r>
              <w:rPr>
                <w:rFonts w:hint="eastAsia" w:ascii="宋体" w:hAnsi="宋体" w:eastAsia="宋体" w:cs="宋体"/>
                <w:b w:val="0"/>
                <w:bCs w:val="0"/>
                <w:color w:val="auto"/>
                <w:sz w:val="24"/>
                <w:szCs w:val="24"/>
                <w:highlight w:val="none"/>
                <w:u w:val="none"/>
                <w:lang w:val="zh-CN" w:bidi="zh-CN"/>
              </w:rPr>
              <w:t>提供任意一个月的</w:t>
            </w:r>
            <w:r>
              <w:rPr>
                <w:rFonts w:hint="eastAsia" w:ascii="宋体" w:hAnsi="宋体" w:eastAsia="宋体" w:cs="宋体"/>
                <w:b w:val="0"/>
                <w:bCs w:val="0"/>
                <w:color w:val="auto"/>
                <w:sz w:val="24"/>
                <w:szCs w:val="24"/>
                <w:highlight w:val="none"/>
                <w:u w:val="none"/>
                <w:lang w:val="en-US" w:eastAsia="zh-CN" w:bidi="zh-CN"/>
              </w:rPr>
              <w:t>社保证明、</w:t>
            </w:r>
            <w:r>
              <w:rPr>
                <w:rFonts w:hint="eastAsia" w:ascii="宋体" w:hAnsi="宋体" w:eastAsia="宋体" w:cs="宋体"/>
                <w:b w:val="0"/>
                <w:bCs w:val="0"/>
                <w:color w:val="auto"/>
                <w:sz w:val="24"/>
                <w:szCs w:val="24"/>
                <w:highlight w:val="none"/>
                <w:u w:val="none"/>
                <w:lang w:val="zh-CN" w:bidi="zh-CN"/>
              </w:rPr>
              <w:t>有效健康证明</w:t>
            </w:r>
            <w:r>
              <w:rPr>
                <w:rFonts w:hint="eastAsia" w:ascii="宋体" w:hAnsi="宋体" w:eastAsia="宋体" w:cs="宋体"/>
                <w:b w:val="0"/>
                <w:bCs w:val="0"/>
                <w:color w:val="auto"/>
                <w:sz w:val="24"/>
                <w:szCs w:val="24"/>
                <w:highlight w:val="none"/>
                <w:u w:val="none"/>
                <w:lang w:val="en-US" w:eastAsia="zh-CN" w:bidi="zh-CN"/>
              </w:rPr>
              <w:t>及</w:t>
            </w:r>
            <w:r>
              <w:rPr>
                <w:rFonts w:hint="eastAsia" w:ascii="宋体" w:hAnsi="宋体" w:eastAsia="宋体" w:cs="宋体"/>
                <w:b w:val="0"/>
                <w:bCs w:val="0"/>
                <w:color w:val="auto"/>
                <w:sz w:val="24"/>
                <w:szCs w:val="24"/>
                <w:highlight w:val="none"/>
                <w:u w:val="none"/>
                <w:lang w:val="zh-CN" w:bidi="zh-CN"/>
              </w:rPr>
              <w:t>公安部门出具</w:t>
            </w:r>
            <w:r>
              <w:rPr>
                <w:rFonts w:hint="eastAsia" w:ascii="宋体" w:hAnsi="宋体" w:eastAsia="宋体" w:cs="宋体"/>
                <w:b w:val="0"/>
                <w:bCs w:val="0"/>
                <w:color w:val="auto"/>
                <w:sz w:val="24"/>
                <w:szCs w:val="24"/>
                <w:highlight w:val="none"/>
                <w:u w:val="none"/>
                <w:lang w:val="en-US" w:eastAsia="zh-CN" w:bidi="zh-CN"/>
              </w:rPr>
              <w:t>有效期内的</w:t>
            </w:r>
            <w:r>
              <w:rPr>
                <w:rFonts w:hint="eastAsia" w:ascii="宋体" w:hAnsi="宋体" w:eastAsia="宋体" w:cs="宋体"/>
                <w:b w:val="0"/>
                <w:bCs w:val="0"/>
                <w:color w:val="auto"/>
                <w:sz w:val="24"/>
                <w:szCs w:val="24"/>
                <w:highlight w:val="none"/>
                <w:u w:val="none"/>
                <w:lang w:val="zh-CN" w:bidi="zh-CN"/>
              </w:rPr>
              <w:t>无犯罪记录证明</w:t>
            </w:r>
            <w:r>
              <w:rPr>
                <w:rFonts w:hint="eastAsia" w:ascii="宋体" w:hAnsi="宋体" w:eastAsia="宋体" w:cs="宋体"/>
                <w:b w:val="0"/>
                <w:bCs w:val="0"/>
                <w:color w:val="auto"/>
                <w:sz w:val="24"/>
                <w:szCs w:val="24"/>
                <w:highlight w:val="none"/>
                <w:u w:val="none"/>
                <w:lang w:val="en-US" w:eastAsia="zh-CN" w:bidi="zh-CN"/>
              </w:rPr>
              <w:t>）</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1B2D278F">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p>
          <w:p w14:paraId="67CFEB05">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□不符合</w:t>
            </w:r>
          </w:p>
        </w:tc>
      </w:tr>
      <w:tr w14:paraId="6196002C">
        <w:tblPrEx>
          <w:tblCellMar>
            <w:top w:w="0" w:type="dxa"/>
            <w:left w:w="108" w:type="dxa"/>
            <w:bottom w:w="0" w:type="dxa"/>
            <w:right w:w="108" w:type="dxa"/>
          </w:tblCellMar>
        </w:tblPrEx>
        <w:trPr>
          <w:trHeight w:val="1854"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09FC4C8C">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sz w:val="24"/>
                <w:szCs w:val="24"/>
                <w:highlight w:val="none"/>
                <w:lang w:val="en-US" w:eastAsia="zh-CN" w:bidi="ar"/>
              </w:rPr>
              <w:t>12</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26D0E5F7">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b w:val="0"/>
                <w:bCs w:val="0"/>
                <w:color w:val="auto"/>
                <w:kern w:val="2"/>
                <w:sz w:val="24"/>
                <w:szCs w:val="24"/>
                <w:highlight w:val="none"/>
                <w:lang w:val="en-US" w:eastAsia="zh-CN" w:bidi="ar"/>
              </w:rPr>
            </w:pPr>
            <w:r>
              <w:rPr>
                <w:rFonts w:hint="eastAsia" w:ascii="宋体" w:hAnsi="宋体" w:eastAsia="宋体" w:cs="宋体"/>
                <w:b w:val="0"/>
                <w:bCs w:val="0"/>
                <w:color w:val="auto"/>
                <w:spacing w:val="-1"/>
                <w:sz w:val="24"/>
                <w:szCs w:val="24"/>
                <w:highlight w:val="none"/>
              </w:rPr>
              <w:t>*</w:t>
            </w:r>
            <w:r>
              <w:rPr>
                <w:rFonts w:hint="eastAsia" w:ascii="宋体" w:hAnsi="宋体" w:eastAsia="宋体" w:cs="宋体"/>
                <w:b w:val="0"/>
                <w:bCs w:val="0"/>
                <w:color w:val="auto"/>
                <w:kern w:val="0"/>
                <w:sz w:val="24"/>
                <w:szCs w:val="24"/>
                <w:highlight w:val="none"/>
                <w:lang w:val="en-US" w:eastAsia="zh-CN"/>
              </w:rPr>
              <w:t>服务于本地区</w:t>
            </w:r>
            <w:r>
              <w:rPr>
                <w:rFonts w:hint="eastAsia" w:ascii="宋体" w:hAnsi="宋体" w:eastAsia="宋体" w:cs="宋体"/>
                <w:b w:val="0"/>
                <w:bCs w:val="0"/>
                <w:color w:val="auto"/>
                <w:kern w:val="0"/>
                <w:sz w:val="24"/>
                <w:szCs w:val="24"/>
                <w:highlight w:val="none"/>
              </w:rPr>
              <w:t>冷链运输厢式货车至少</w:t>
            </w:r>
            <w:r>
              <w:rPr>
                <w:rFonts w:hint="eastAsia" w:ascii="宋体" w:hAnsi="宋体" w:eastAsia="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rPr>
              <w:t>辆</w:t>
            </w:r>
          </w:p>
        </w:tc>
        <w:tc>
          <w:tcPr>
            <w:tcW w:w="1721" w:type="pct"/>
            <w:tcBorders>
              <w:top w:val="single" w:color="000000" w:sz="4" w:space="0"/>
              <w:left w:val="single" w:color="000000" w:sz="4" w:space="0"/>
              <w:bottom w:val="single" w:color="000000" w:sz="4" w:space="0"/>
              <w:right w:val="single" w:color="000000" w:sz="4" w:space="0"/>
            </w:tcBorders>
            <w:noWrap/>
            <w:vAlign w:val="top"/>
          </w:tcPr>
          <w:p w14:paraId="018E5EF1">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提供服务于本项目的</w:t>
            </w:r>
            <w:r>
              <w:rPr>
                <w:rFonts w:hint="eastAsia" w:ascii="宋体" w:hAnsi="宋体" w:eastAsia="宋体" w:cs="宋体"/>
                <w:b w:val="0"/>
                <w:bCs w:val="0"/>
                <w:color w:val="auto"/>
                <w:sz w:val="24"/>
                <w:szCs w:val="24"/>
                <w:highlight w:val="none"/>
                <w:u w:val="none"/>
                <w:lang w:val="en-US" w:bidi="zh-CN"/>
              </w:rPr>
              <w:t>固定</w:t>
            </w:r>
            <w:r>
              <w:rPr>
                <w:rFonts w:hint="eastAsia" w:ascii="宋体" w:hAnsi="宋体" w:eastAsia="宋体" w:cs="宋体"/>
                <w:b w:val="0"/>
                <w:bCs w:val="0"/>
                <w:color w:val="auto"/>
                <w:sz w:val="24"/>
                <w:szCs w:val="24"/>
                <w:highlight w:val="none"/>
                <w:lang w:val="en-US" w:eastAsia="zh-CN"/>
              </w:rPr>
              <w:t>冷链车辆统计表（含所有人名称、车牌号）车辆机动车登记证书、车辆行驶证及有效交强险保险单，保险单中须注明厂牌型号和使用性质，使用性质为特殊用途车辆且已通过年检；车辆配备卫星定位系统和车厢内部视频监控</w:t>
            </w:r>
          </w:p>
          <w:p w14:paraId="21317AE8">
            <w:pPr>
              <w:keepNext w:val="0"/>
              <w:keepLines w:val="0"/>
              <w:suppressLineNumbers w:val="0"/>
              <w:spacing w:before="0" w:beforeAutospacing="0" w:after="0" w:afterAutospacing="0" w:line="240" w:lineRule="auto"/>
              <w:ind w:left="0" w:right="0" w:firstLine="0" w:firstLineChars="0"/>
              <w:jc w:val="both"/>
              <w:textAlignment w:val="center"/>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以上须提供相关证件原件</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35848CC2">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p>
          <w:p w14:paraId="1BC8D728">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□不符合</w:t>
            </w:r>
          </w:p>
        </w:tc>
      </w:tr>
      <w:tr w14:paraId="55DCC3D9">
        <w:tblPrEx>
          <w:tblCellMar>
            <w:top w:w="0" w:type="dxa"/>
            <w:left w:w="108" w:type="dxa"/>
            <w:bottom w:w="0" w:type="dxa"/>
            <w:right w:w="108" w:type="dxa"/>
          </w:tblCellMar>
        </w:tblPrEx>
        <w:trPr>
          <w:trHeight w:val="824"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2807CE24">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sz w:val="24"/>
                <w:szCs w:val="24"/>
                <w:highlight w:val="none"/>
                <w:lang w:bidi="ar"/>
              </w:rPr>
              <w:t>1</w:t>
            </w:r>
            <w:r>
              <w:rPr>
                <w:rFonts w:hint="eastAsia" w:ascii="宋体" w:hAnsi="宋体" w:eastAsia="宋体" w:cs="宋体"/>
                <w:color w:val="auto"/>
                <w:sz w:val="24"/>
                <w:szCs w:val="24"/>
                <w:highlight w:val="none"/>
                <w:lang w:val="en-US" w:eastAsia="zh-CN" w:bidi="ar"/>
              </w:rPr>
              <w:t>3</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0219C91E">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检测设备和人员能满足相应检测需求，快检室的面积不低于20平方米；</w:t>
            </w:r>
          </w:p>
          <w:p w14:paraId="79D9064A">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（1）配备具有瘦肉精、兽药残留、农药残留、重金属检测、抗生素等食材检测设备及试剂；（招标人有权在投标单位服务周期内根据实际情况，动态指定快检必检项目）；</w:t>
            </w:r>
          </w:p>
          <w:p w14:paraId="1997167C">
            <w:pPr>
              <w:keepNext w:val="0"/>
              <w:keepLines w:val="0"/>
              <w:numPr>
                <w:ilvl w:val="0"/>
                <w:numId w:val="0"/>
              </w:numPr>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b w:val="0"/>
                <w:bCs w:val="0"/>
                <w:color w:val="auto"/>
                <w:sz w:val="24"/>
                <w:szCs w:val="24"/>
                <w:highlight w:val="none"/>
              </w:rPr>
              <w:t>配备与检测能力、</w:t>
            </w:r>
            <w:r>
              <w:rPr>
                <w:rFonts w:hint="eastAsia" w:ascii="宋体" w:hAnsi="宋体" w:eastAsia="宋体" w:cs="宋体"/>
                <w:sz w:val="24"/>
                <w:szCs w:val="24"/>
                <w:highlight w:val="none"/>
              </w:rPr>
              <w:t>检测数量相适应的专职检测人员，检测人员应经过培训考核合格后持证上岗（人员包含在固定工作人员中）：提供布局图</w:t>
            </w:r>
            <w:r>
              <w:rPr>
                <w:rFonts w:hint="eastAsia" w:ascii="宋体" w:hAnsi="宋体" w:cs="宋体"/>
                <w:sz w:val="24"/>
                <w:szCs w:val="24"/>
                <w:highlight w:val="none"/>
                <w:lang w:val="en-US" w:eastAsia="zh-CN"/>
              </w:rPr>
              <w:t>及相关</w:t>
            </w:r>
            <w:r>
              <w:rPr>
                <w:rFonts w:hint="eastAsia" w:ascii="宋体" w:hAnsi="宋体" w:eastAsia="宋体" w:cs="宋体"/>
                <w:sz w:val="24"/>
                <w:szCs w:val="24"/>
                <w:highlight w:val="none"/>
              </w:rPr>
              <w:t>证书；</w:t>
            </w:r>
          </w:p>
          <w:p w14:paraId="63AB0B8F">
            <w:pPr>
              <w:keepNext w:val="0"/>
              <w:keepLines w:val="0"/>
              <w:numPr>
                <w:ilvl w:val="0"/>
                <w:numId w:val="0"/>
              </w:numPr>
              <w:suppressLineNumbers w:val="0"/>
              <w:spacing w:before="0" w:beforeAutospacing="0" w:after="0" w:afterAutospacing="0" w:line="240" w:lineRule="auto"/>
              <w:ind w:left="0" w:right="0"/>
              <w:jc w:val="both"/>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sz w:val="24"/>
                <w:szCs w:val="24"/>
                <w:highlight w:val="none"/>
              </w:rPr>
              <w:t>（检测设备以投标单位购买发票为准，检测人员需同时具有有效健康证明及公安部门出具的</w:t>
            </w:r>
            <w:r>
              <w:rPr>
                <w:rFonts w:hint="eastAsia" w:ascii="宋体" w:hAnsi="宋体" w:eastAsia="宋体" w:cs="宋体"/>
                <w:sz w:val="24"/>
                <w:szCs w:val="24"/>
                <w:highlight w:val="none"/>
                <w:lang w:val="en-US" w:eastAsia="zh-CN"/>
              </w:rPr>
              <w:t>有效期内的</w:t>
            </w:r>
            <w:r>
              <w:rPr>
                <w:rFonts w:hint="eastAsia" w:ascii="宋体" w:hAnsi="宋体" w:eastAsia="宋体" w:cs="宋体"/>
                <w:sz w:val="24"/>
                <w:szCs w:val="24"/>
                <w:highlight w:val="none"/>
              </w:rPr>
              <w:t>无犯罪记录证明，且</w:t>
            </w:r>
            <w:r>
              <w:rPr>
                <w:rFonts w:hint="eastAsia" w:ascii="宋体" w:hAnsi="宋体" w:eastAsia="宋体" w:cs="宋体"/>
                <w:sz w:val="24"/>
                <w:szCs w:val="24"/>
                <w:highlight w:val="none"/>
                <w:lang w:val="en-US" w:eastAsia="zh-CN"/>
              </w:rPr>
              <w:t>投标单位</w:t>
            </w:r>
            <w:r>
              <w:rPr>
                <w:rFonts w:hint="eastAsia" w:ascii="宋体" w:hAnsi="宋体" w:eastAsia="宋体" w:cs="宋体"/>
                <w:sz w:val="24"/>
                <w:szCs w:val="24"/>
                <w:highlight w:val="none"/>
              </w:rPr>
              <w:t>近期为检测人员缴纳的社保证明及承诺函〈承诺中标后及时上传检测数据至苏州市级或区（县）级市监局平台）</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7EB5746B">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sz w:val="24"/>
                <w:szCs w:val="24"/>
                <w:highlight w:val="none"/>
              </w:rPr>
              <w:t>现场核查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5F1E5040">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实测面积：</w:t>
            </w:r>
          </w:p>
          <w:p w14:paraId="212DFDA9">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平方米</w:t>
            </w:r>
          </w:p>
          <w:p w14:paraId="1F919659">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有检测合格证：</w:t>
            </w:r>
          </w:p>
          <w:p w14:paraId="04FDD429">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人</w:t>
            </w:r>
          </w:p>
          <w:p w14:paraId="11CDE35D">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符合</w:t>
            </w:r>
          </w:p>
          <w:p w14:paraId="0BA4E49C">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□不符合</w:t>
            </w:r>
          </w:p>
          <w:p w14:paraId="3BF84EB7">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kern w:val="2"/>
                <w:sz w:val="24"/>
                <w:szCs w:val="24"/>
                <w:highlight w:val="none"/>
                <w:lang w:val="en-US" w:eastAsia="zh-CN" w:bidi="ar-SA"/>
              </w:rPr>
            </w:pPr>
          </w:p>
        </w:tc>
      </w:tr>
      <w:tr w14:paraId="05084C09">
        <w:tblPrEx>
          <w:tblCellMar>
            <w:top w:w="0" w:type="dxa"/>
            <w:left w:w="108" w:type="dxa"/>
            <w:bottom w:w="0" w:type="dxa"/>
            <w:right w:w="108" w:type="dxa"/>
          </w:tblCellMar>
        </w:tblPrEx>
        <w:trPr>
          <w:trHeight w:val="1185"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01E244B2">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sz w:val="24"/>
                <w:szCs w:val="24"/>
                <w:highlight w:val="none"/>
                <w:lang w:bidi="ar"/>
              </w:rPr>
              <w:t>1</w:t>
            </w:r>
            <w:r>
              <w:rPr>
                <w:rFonts w:hint="eastAsia" w:ascii="宋体" w:hAnsi="宋体" w:eastAsia="宋体" w:cs="宋体"/>
                <w:color w:val="auto"/>
                <w:sz w:val="24"/>
                <w:szCs w:val="24"/>
                <w:highlight w:val="none"/>
                <w:lang w:val="en-US" w:eastAsia="zh-CN" w:bidi="ar"/>
              </w:rPr>
              <w:t>4</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6866254F">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经营场地划分仓储、物资收发、蔬菜分拣、肉类分割、箱框消毒等区域，场地内保持</w:t>
            </w:r>
            <w:r>
              <w:rPr>
                <w:rFonts w:hint="eastAsia" w:ascii="宋体" w:hAnsi="宋体" w:eastAsia="宋体" w:cs="宋体"/>
                <w:color w:val="auto"/>
                <w:kern w:val="0"/>
                <w:sz w:val="24"/>
                <w:szCs w:val="24"/>
                <w:highlight w:val="none"/>
                <w:lang w:bidi="ar"/>
              </w:rPr>
              <w:t>干燥、通风和清洁</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15731191">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rPr>
              <w:t>现场核查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78FE5ADE">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符合</w:t>
            </w:r>
          </w:p>
          <w:p w14:paraId="2A425150">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基本</w:t>
            </w:r>
            <w:r>
              <w:rPr>
                <w:rFonts w:hint="eastAsia" w:ascii="宋体" w:hAnsi="宋体" w:eastAsia="宋体" w:cs="宋体"/>
                <w:color w:val="auto"/>
                <w:sz w:val="24"/>
                <w:szCs w:val="24"/>
                <w:highlight w:val="none"/>
              </w:rPr>
              <w:t>符合</w:t>
            </w:r>
          </w:p>
          <w:p w14:paraId="393B6C37">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□不符合</w:t>
            </w:r>
          </w:p>
        </w:tc>
      </w:tr>
      <w:tr w14:paraId="762E9597">
        <w:tblPrEx>
          <w:tblCellMar>
            <w:top w:w="0" w:type="dxa"/>
            <w:left w:w="108" w:type="dxa"/>
            <w:bottom w:w="0" w:type="dxa"/>
            <w:right w:w="108" w:type="dxa"/>
          </w:tblCellMar>
        </w:tblPrEx>
        <w:trPr>
          <w:trHeight w:val="689"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054199FA">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15</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6264502C">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肉类加工车间清洁，有消毒设备</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1E9A7773">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现场核查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2AFCBE0F">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□符合</w:t>
            </w:r>
          </w:p>
          <w:p w14:paraId="2FBA4CF8">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□不符合</w:t>
            </w:r>
          </w:p>
        </w:tc>
      </w:tr>
      <w:tr w14:paraId="48A2C64F">
        <w:tblPrEx>
          <w:tblCellMar>
            <w:top w:w="0" w:type="dxa"/>
            <w:left w:w="108" w:type="dxa"/>
            <w:bottom w:w="0" w:type="dxa"/>
            <w:right w:w="108" w:type="dxa"/>
          </w:tblCellMar>
        </w:tblPrEx>
        <w:trPr>
          <w:trHeight w:val="1252"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1C552DB2">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16</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5E05A527">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仓库干燥、通风，避免阳光直射；有防潮措施，设有防虫防鼠等措施</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1D87452B">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现场核查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2B82FDBA">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zh-CN" w:eastAsia="zh-CN"/>
              </w:rPr>
              <w:t>通风换气、降温去湿功能</w:t>
            </w:r>
            <w:r>
              <w:rPr>
                <w:rFonts w:hint="eastAsia" w:ascii="宋体" w:hAnsi="宋体" w:eastAsia="宋体" w:cs="宋体"/>
                <w:color w:val="auto"/>
                <w:kern w:val="0"/>
                <w:sz w:val="24"/>
                <w:szCs w:val="24"/>
                <w:highlight w:val="none"/>
                <w:lang w:val="en-US" w:eastAsia="zh-CN"/>
              </w:rPr>
              <w:t>：</w:t>
            </w:r>
          </w:p>
          <w:p w14:paraId="68E3094D">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□符合</w:t>
            </w:r>
          </w:p>
          <w:p w14:paraId="3877734C">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基本</w:t>
            </w:r>
            <w:r>
              <w:rPr>
                <w:rFonts w:hint="eastAsia" w:ascii="宋体" w:hAnsi="宋体" w:eastAsia="宋体" w:cs="宋体"/>
                <w:color w:val="auto"/>
                <w:sz w:val="24"/>
                <w:szCs w:val="24"/>
                <w:highlight w:val="none"/>
              </w:rPr>
              <w:t>符合</w:t>
            </w:r>
          </w:p>
          <w:p w14:paraId="72322DD8">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□不符合</w:t>
            </w:r>
          </w:p>
        </w:tc>
      </w:tr>
      <w:tr w14:paraId="6F2F76F8">
        <w:tblPrEx>
          <w:tblCellMar>
            <w:top w:w="0" w:type="dxa"/>
            <w:left w:w="108" w:type="dxa"/>
            <w:bottom w:w="0" w:type="dxa"/>
            <w:right w:w="108" w:type="dxa"/>
          </w:tblCellMar>
        </w:tblPrEx>
        <w:trPr>
          <w:trHeight w:val="1145"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77CCFA63">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sz w:val="24"/>
                <w:szCs w:val="24"/>
                <w:highlight w:val="none"/>
                <w:lang w:val="en-US" w:eastAsia="zh-CN" w:bidi="ar"/>
              </w:rPr>
              <w:t>17</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3C4FE99E">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pacing w:val="-1"/>
                <w:sz w:val="24"/>
                <w:szCs w:val="24"/>
                <w:highlight w:val="none"/>
              </w:rPr>
              <w:t>*经营场所关键点位视频监控覆盖情况（完备/较完备/不完备）</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244FD9BD">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bidi="ar"/>
              </w:rPr>
              <w:t>现场</w:t>
            </w:r>
            <w:r>
              <w:rPr>
                <w:rFonts w:hint="eastAsia" w:ascii="宋体" w:hAnsi="宋体" w:eastAsia="宋体" w:cs="宋体"/>
                <w:color w:val="auto"/>
                <w:kern w:val="0"/>
                <w:sz w:val="24"/>
                <w:szCs w:val="24"/>
                <w:highlight w:val="none"/>
              </w:rPr>
              <w:t>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7418D49D">
            <w:pPr>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360" w:lineRule="exact"/>
              <w:ind w:left="158" w:leftChars="0" w:right="0" w:hanging="158" w:hangingChars="66"/>
              <w:jc w:val="both"/>
              <w:rPr>
                <w:rFonts w:hint="eastAsia" w:ascii="宋体" w:hAnsi="宋体" w:eastAsia="宋体" w:cs="宋体"/>
                <w:color w:val="auto"/>
                <w:sz w:val="24"/>
                <w:szCs w:val="24"/>
                <w:highlight w:val="none"/>
                <w:lang w:val="zh-CN" w:bidi="zh-CN"/>
              </w:rPr>
            </w:pPr>
            <w:r>
              <w:rPr>
                <w:rFonts w:hint="eastAsia" w:ascii="宋体" w:hAnsi="宋体" w:eastAsia="宋体" w:cs="宋体"/>
                <w:color w:val="auto"/>
                <w:sz w:val="24"/>
                <w:szCs w:val="24"/>
                <w:highlight w:val="none"/>
                <w:lang w:val="zh-CN" w:bidi="zh-CN"/>
              </w:rPr>
              <w:t>口完备</w:t>
            </w:r>
          </w:p>
          <w:p w14:paraId="455870E8">
            <w:pPr>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360" w:lineRule="exact"/>
              <w:ind w:left="158" w:leftChars="0" w:right="0" w:hanging="158" w:hangingChars="66"/>
              <w:jc w:val="both"/>
              <w:rPr>
                <w:rFonts w:hint="eastAsia" w:ascii="宋体" w:hAnsi="宋体" w:eastAsia="宋体" w:cs="宋体"/>
                <w:color w:val="auto"/>
                <w:sz w:val="24"/>
                <w:szCs w:val="24"/>
                <w:highlight w:val="none"/>
                <w:lang w:val="zh-CN" w:bidi="zh-CN"/>
              </w:rPr>
            </w:pPr>
            <w:r>
              <w:rPr>
                <w:rFonts w:hint="eastAsia" w:ascii="宋体" w:hAnsi="宋体" w:eastAsia="宋体" w:cs="宋体"/>
                <w:color w:val="auto"/>
                <w:sz w:val="24"/>
                <w:szCs w:val="24"/>
                <w:highlight w:val="none"/>
                <w:lang w:val="zh-CN" w:bidi="zh-CN"/>
              </w:rPr>
              <w:t>口较完备</w:t>
            </w:r>
          </w:p>
          <w:p w14:paraId="178C55DC">
            <w:pPr>
              <w:keepNext w:val="0"/>
              <w:keepLines w:val="0"/>
              <w:pageBreakBefore w:val="0"/>
              <w:widowControl w:val="0"/>
              <w:suppressLineNumbers w:val="0"/>
              <w:kinsoku/>
              <w:wordWrap/>
              <w:overflowPunct w:val="0"/>
              <w:topLinePunct w:val="0"/>
              <w:bidi w:val="0"/>
              <w:adjustRightInd w:val="0"/>
              <w:snapToGrid w:val="0"/>
              <w:spacing w:before="0" w:beforeAutospacing="0" w:after="0" w:afterAutospacing="0" w:line="360" w:lineRule="exact"/>
              <w:ind w:left="0" w:right="0" w:firstLine="0" w:firstLineChars="0"/>
              <w:jc w:val="both"/>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lang w:val="zh-CN" w:bidi="zh-CN"/>
              </w:rPr>
              <w:t>口不完备</w:t>
            </w:r>
          </w:p>
        </w:tc>
      </w:tr>
      <w:tr w14:paraId="639E3332">
        <w:tblPrEx>
          <w:tblCellMar>
            <w:top w:w="0" w:type="dxa"/>
            <w:left w:w="108" w:type="dxa"/>
            <w:bottom w:w="0" w:type="dxa"/>
            <w:right w:w="108" w:type="dxa"/>
          </w:tblCellMar>
        </w:tblPrEx>
        <w:trPr>
          <w:trHeight w:val="1004" w:hRule="atLeast"/>
          <w:jc w:val="center"/>
        </w:trPr>
        <w:tc>
          <w:tcPr>
            <w:tcW w:w="427" w:type="pct"/>
            <w:tcBorders>
              <w:top w:val="single" w:color="000000" w:sz="4" w:space="0"/>
              <w:left w:val="single" w:color="000000" w:sz="4" w:space="0"/>
              <w:bottom w:val="single" w:color="000000" w:sz="4" w:space="0"/>
              <w:right w:val="single" w:color="000000" w:sz="4" w:space="0"/>
            </w:tcBorders>
            <w:noWrap/>
            <w:vAlign w:val="center"/>
          </w:tcPr>
          <w:p w14:paraId="15C36D78">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sz w:val="24"/>
                <w:szCs w:val="24"/>
                <w:highlight w:val="none"/>
                <w:lang w:val="en-US" w:eastAsia="zh-CN" w:bidi="ar"/>
              </w:rPr>
              <w:t>18</w:t>
            </w:r>
          </w:p>
        </w:tc>
        <w:tc>
          <w:tcPr>
            <w:tcW w:w="1466" w:type="pct"/>
            <w:tcBorders>
              <w:top w:val="single" w:color="000000" w:sz="4" w:space="0"/>
              <w:left w:val="single" w:color="000000" w:sz="4" w:space="0"/>
              <w:bottom w:val="single" w:color="000000" w:sz="4" w:space="0"/>
              <w:right w:val="single" w:color="000000" w:sz="4" w:space="0"/>
            </w:tcBorders>
            <w:noWrap/>
            <w:vAlign w:val="center"/>
          </w:tcPr>
          <w:p w14:paraId="7656A650">
            <w:pPr>
              <w:keepNext w:val="0"/>
              <w:keepLines w:val="0"/>
              <w:suppressLineNumbers w:val="0"/>
              <w:spacing w:before="0" w:beforeAutospacing="0" w:after="0" w:afterAutospacing="0" w:line="240" w:lineRule="auto"/>
              <w:ind w:left="0" w:right="0" w:firstLine="0" w:firstLineChars="0"/>
              <w:jc w:val="both"/>
              <w:textAlignment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u w:val="none"/>
                <w:lang w:val="en-US" w:eastAsia="zh-CN"/>
              </w:rPr>
              <w:t>本公司车辆总数、人员总数</w:t>
            </w:r>
          </w:p>
        </w:tc>
        <w:tc>
          <w:tcPr>
            <w:tcW w:w="1721" w:type="pct"/>
            <w:tcBorders>
              <w:top w:val="single" w:color="000000" w:sz="4" w:space="0"/>
              <w:left w:val="single" w:color="000000" w:sz="4" w:space="0"/>
              <w:bottom w:val="single" w:color="000000" w:sz="4" w:space="0"/>
              <w:right w:val="single" w:color="000000" w:sz="4" w:space="0"/>
            </w:tcBorders>
            <w:noWrap/>
            <w:vAlign w:val="center"/>
          </w:tcPr>
          <w:p w14:paraId="1B4117F4">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现场核查</w:t>
            </w:r>
          </w:p>
        </w:tc>
        <w:tc>
          <w:tcPr>
            <w:tcW w:w="1385" w:type="pct"/>
            <w:tcBorders>
              <w:top w:val="single" w:color="000000" w:sz="4" w:space="0"/>
              <w:left w:val="single" w:color="000000" w:sz="4" w:space="0"/>
              <w:bottom w:val="single" w:color="000000" w:sz="4" w:space="0"/>
              <w:right w:val="single" w:color="000000" w:sz="4" w:space="0"/>
            </w:tcBorders>
            <w:noWrap/>
            <w:vAlign w:val="center"/>
          </w:tcPr>
          <w:p w14:paraId="34096F9C">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车辆总数：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辆</w:t>
            </w:r>
          </w:p>
          <w:p w14:paraId="10262AB8">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lang w:val="en-US" w:eastAsia="zh-CN"/>
              </w:rPr>
              <w:t>员</w:t>
            </w:r>
            <w:r>
              <w:rPr>
                <w:rFonts w:hint="eastAsia" w:ascii="宋体" w:hAnsi="宋体" w:eastAsia="宋体" w:cs="宋体"/>
                <w:color w:val="auto"/>
                <w:sz w:val="24"/>
                <w:szCs w:val="24"/>
                <w:highlight w:val="none"/>
              </w:rPr>
              <w:t>总数：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人</w:t>
            </w:r>
          </w:p>
          <w:p w14:paraId="6205C840">
            <w:pPr>
              <w:keepNext w:val="0"/>
              <w:keepLines w:val="0"/>
              <w:suppressLineNumbers w:val="0"/>
              <w:spacing w:before="0" w:beforeAutospacing="0" w:after="0" w:afterAutospacing="0" w:line="240" w:lineRule="auto"/>
              <w:ind w:left="0" w:right="0" w:firstLine="0" w:firstLineChars="0"/>
              <w:jc w:val="both"/>
              <w:rPr>
                <w:rFonts w:hint="eastAsia" w:ascii="宋体" w:hAnsi="宋体" w:eastAsia="宋体" w:cs="宋体"/>
                <w:color w:val="auto"/>
                <w:kern w:val="2"/>
                <w:sz w:val="24"/>
                <w:szCs w:val="24"/>
                <w:highlight w:val="none"/>
                <w:lang w:val="zh-CN" w:eastAsia="zh-CN" w:bidi="zh-CN"/>
              </w:rPr>
            </w:pPr>
            <w:r>
              <w:rPr>
                <w:rFonts w:hint="eastAsia" w:ascii="宋体" w:hAnsi="宋体" w:eastAsia="宋体" w:cs="宋体"/>
                <w:color w:val="auto"/>
                <w:sz w:val="24"/>
                <w:szCs w:val="24"/>
                <w:highlight w:val="none"/>
                <w:lang w:val="en-US" w:eastAsia="zh-CN"/>
              </w:rPr>
              <w:t>总能力值：</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个</w:t>
            </w:r>
          </w:p>
        </w:tc>
      </w:tr>
    </w:tbl>
    <w:p w14:paraId="0461738F">
      <w:pPr>
        <w:pStyle w:val="3"/>
        <w:keepNext w:val="0"/>
        <w:keepLines w:val="0"/>
        <w:pageBreakBefore w:val="0"/>
        <w:widowControl w:val="0"/>
        <w:kinsoku/>
        <w:wordWrap/>
        <w:overflowPunct/>
        <w:topLinePunct w:val="0"/>
        <w:autoSpaceDE w:val="0"/>
        <w:autoSpaceDN w:val="0"/>
        <w:bidi w:val="0"/>
        <w:adjustRightInd w:val="0"/>
        <w:snapToGrid w:val="0"/>
        <w:spacing w:line="400" w:lineRule="exact"/>
        <w:ind w:left="723" w:right="0" w:rightChars="0" w:hanging="723" w:hangingChars="300"/>
        <w:jc w:val="both"/>
        <w:textAlignment w:val="auto"/>
        <w:rPr>
          <w:rFonts w:hint="eastAsia" w:ascii="宋体" w:hAnsi="宋体" w:eastAsia="宋体" w:cs="宋体"/>
          <w:i w:val="0"/>
          <w:iCs w:val="0"/>
          <w:color w:val="auto"/>
          <w:spacing w:val="0"/>
          <w:sz w:val="24"/>
          <w:szCs w:val="24"/>
          <w:highlight w:val="none"/>
          <w:u w:val="single"/>
          <w:lang w:val="en-US" w:eastAsia="zh-CN"/>
        </w:rPr>
      </w:pPr>
      <w:r>
        <w:rPr>
          <w:rFonts w:hint="eastAsia" w:ascii="宋体" w:hAnsi="宋体" w:eastAsia="宋体" w:cs="宋体"/>
          <w:b/>
          <w:bCs/>
          <w:i w:val="0"/>
          <w:iCs w:val="0"/>
          <w:color w:val="auto"/>
          <w:spacing w:val="0"/>
          <w:sz w:val="24"/>
          <w:szCs w:val="24"/>
          <w:highlight w:val="none"/>
          <w:u w:val="single"/>
          <w:lang w:val="en-US" w:eastAsia="zh-CN"/>
        </w:rPr>
        <w:t>注：</w:t>
      </w:r>
      <w:r>
        <w:rPr>
          <w:rFonts w:hint="eastAsia" w:ascii="宋体" w:hAnsi="宋体" w:eastAsia="宋体" w:cs="宋体"/>
          <w:i w:val="0"/>
          <w:iCs w:val="0"/>
          <w:color w:val="auto"/>
          <w:spacing w:val="0"/>
          <w:sz w:val="24"/>
          <w:szCs w:val="24"/>
          <w:highlight w:val="none"/>
          <w:u w:val="single"/>
          <w:lang w:val="en-US" w:eastAsia="zh-CN"/>
        </w:rPr>
        <w:t>1.</w:t>
      </w:r>
      <w:r>
        <w:rPr>
          <w:rFonts w:hint="eastAsia" w:ascii="宋体" w:hAnsi="宋体" w:cs="宋体"/>
          <w:i w:val="0"/>
          <w:iCs w:val="0"/>
          <w:color w:val="auto"/>
          <w:spacing w:val="0"/>
          <w:sz w:val="24"/>
          <w:szCs w:val="24"/>
          <w:highlight w:val="none"/>
          <w:u w:val="single"/>
          <w:lang w:val="en-US" w:eastAsia="zh-CN"/>
        </w:rPr>
        <w:t>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2ACD4067">
      <w:pPr>
        <w:pStyle w:val="3"/>
        <w:keepNext w:val="0"/>
        <w:keepLines w:val="0"/>
        <w:pageBreakBefore w:val="0"/>
        <w:widowControl w:val="0"/>
        <w:kinsoku/>
        <w:wordWrap/>
        <w:overflowPunct/>
        <w:topLinePunct w:val="0"/>
        <w:autoSpaceDE w:val="0"/>
        <w:autoSpaceDN w:val="0"/>
        <w:bidi w:val="0"/>
        <w:adjustRightInd w:val="0"/>
        <w:snapToGrid w:val="0"/>
        <w:spacing w:line="400" w:lineRule="exact"/>
        <w:ind w:left="719" w:leftChars="228" w:right="0" w:rightChars="0" w:hanging="240" w:hangingChars="100"/>
        <w:jc w:val="both"/>
        <w:textAlignment w:val="auto"/>
        <w:rPr>
          <w:rFonts w:hint="eastAsia" w:ascii="宋体" w:hAnsi="宋体" w:cs="宋体"/>
          <w:i w:val="0"/>
          <w:iCs w:val="0"/>
          <w:color w:val="auto"/>
          <w:spacing w:val="0"/>
          <w:sz w:val="24"/>
          <w:szCs w:val="24"/>
          <w:highlight w:val="none"/>
          <w:u w:val="single"/>
          <w:lang w:val="en-US" w:eastAsia="zh-CN"/>
        </w:rPr>
      </w:pPr>
      <w:r>
        <w:rPr>
          <w:rFonts w:hint="eastAsia" w:ascii="宋体" w:hAnsi="宋体" w:cs="宋体"/>
          <w:i w:val="0"/>
          <w:iCs w:val="0"/>
          <w:color w:val="auto"/>
          <w:spacing w:val="0"/>
          <w:sz w:val="24"/>
          <w:szCs w:val="24"/>
          <w:highlight w:val="none"/>
          <w:u w:val="single"/>
          <w:lang w:val="en-US" w:eastAsia="zh-CN"/>
        </w:rPr>
        <w:t>2.涉及带星号的项目，若资格预审时发现任意一项不符合，则认定为资格预审不通过。</w:t>
      </w:r>
    </w:p>
    <w:p w14:paraId="644CEF97">
      <w:pPr>
        <w:pStyle w:val="3"/>
        <w:keepNext w:val="0"/>
        <w:keepLines w:val="0"/>
        <w:pageBreakBefore w:val="0"/>
        <w:widowControl w:val="0"/>
        <w:kinsoku/>
        <w:wordWrap/>
        <w:overflowPunct/>
        <w:topLinePunct w:val="0"/>
        <w:autoSpaceDE w:val="0"/>
        <w:autoSpaceDN w:val="0"/>
        <w:bidi w:val="0"/>
        <w:adjustRightInd w:val="0"/>
        <w:snapToGrid w:val="0"/>
        <w:spacing w:line="400" w:lineRule="exact"/>
        <w:ind w:right="0" w:rightChars="0"/>
        <w:jc w:val="both"/>
        <w:textAlignment w:val="auto"/>
        <w:rPr>
          <w:rFonts w:hint="eastAsia" w:ascii="宋体" w:hAnsi="宋体" w:eastAsia="宋体" w:cs="宋体"/>
          <w:b/>
          <w:bCs/>
          <w:i w:val="0"/>
          <w:iCs w:val="0"/>
          <w:color w:val="auto"/>
          <w:spacing w:val="0"/>
          <w:sz w:val="24"/>
          <w:szCs w:val="24"/>
          <w:highlight w:val="none"/>
        </w:rPr>
      </w:pPr>
      <w:r>
        <w:rPr>
          <w:rFonts w:hint="eastAsia" w:ascii="宋体" w:hAnsi="宋体" w:eastAsia="宋体" w:cs="宋体"/>
          <w:b/>
          <w:bCs/>
          <w:i w:val="0"/>
          <w:iCs w:val="0"/>
          <w:color w:val="auto"/>
          <w:spacing w:val="0"/>
          <w:sz w:val="24"/>
          <w:szCs w:val="24"/>
          <w:highlight w:val="none"/>
          <w:lang w:val="en-US" w:eastAsia="zh-CN"/>
        </w:rPr>
        <w:t>审查</w:t>
      </w:r>
      <w:r>
        <w:rPr>
          <w:rFonts w:hint="eastAsia" w:ascii="宋体" w:hAnsi="宋体" w:eastAsia="宋体" w:cs="宋体"/>
          <w:b/>
          <w:bCs/>
          <w:i w:val="0"/>
          <w:iCs w:val="0"/>
          <w:color w:val="auto"/>
          <w:spacing w:val="0"/>
          <w:sz w:val="24"/>
          <w:szCs w:val="24"/>
          <w:highlight w:val="none"/>
        </w:rPr>
        <w:t>小组全体成员签字：</w:t>
      </w:r>
    </w:p>
    <w:p w14:paraId="31C02114">
      <w:pPr>
        <w:pStyle w:val="3"/>
        <w:keepNext w:val="0"/>
        <w:keepLines w:val="0"/>
        <w:pageBreakBefore w:val="0"/>
        <w:widowControl w:val="0"/>
        <w:kinsoku/>
        <w:wordWrap/>
        <w:overflowPunct/>
        <w:topLinePunct w:val="0"/>
        <w:autoSpaceDE w:val="0"/>
        <w:autoSpaceDN w:val="0"/>
        <w:bidi w:val="0"/>
        <w:adjustRightInd w:val="0"/>
        <w:snapToGrid w:val="0"/>
        <w:spacing w:line="400" w:lineRule="exact"/>
        <w:ind w:right="0" w:rightChars="0"/>
        <w:jc w:val="both"/>
        <w:textAlignment w:val="auto"/>
        <w:rPr>
          <w:rFonts w:hint="eastAsia" w:ascii="宋体" w:hAnsi="宋体" w:eastAsia="宋体" w:cs="宋体"/>
          <w:b/>
          <w:bCs/>
          <w:i w:val="0"/>
          <w:iCs w:val="0"/>
          <w:color w:val="auto"/>
          <w:spacing w:val="0"/>
          <w:sz w:val="24"/>
          <w:szCs w:val="24"/>
          <w:highlight w:val="none"/>
        </w:rPr>
      </w:pPr>
    </w:p>
    <w:p w14:paraId="3FB9CBC8">
      <w:pPr>
        <w:pStyle w:val="3"/>
        <w:keepNext w:val="0"/>
        <w:keepLines w:val="0"/>
        <w:pageBreakBefore w:val="0"/>
        <w:widowControl w:val="0"/>
        <w:kinsoku/>
        <w:wordWrap/>
        <w:overflowPunct/>
        <w:topLinePunct w:val="0"/>
        <w:autoSpaceDE w:val="0"/>
        <w:autoSpaceDN w:val="0"/>
        <w:bidi w:val="0"/>
        <w:adjustRightInd w:val="0"/>
        <w:snapToGrid w:val="0"/>
        <w:spacing w:line="400" w:lineRule="exact"/>
        <w:ind w:right="0" w:rightChars="0"/>
        <w:jc w:val="both"/>
        <w:textAlignment w:val="auto"/>
        <w:rPr>
          <w:rFonts w:hint="eastAsia" w:ascii="宋体" w:hAnsi="宋体" w:eastAsia="宋体" w:cs="宋体"/>
          <w:b/>
          <w:bCs/>
          <w:i w:val="0"/>
          <w:iCs w:val="0"/>
          <w:color w:val="auto"/>
          <w:spacing w:val="0"/>
          <w:sz w:val="24"/>
          <w:szCs w:val="24"/>
          <w:highlight w:val="none"/>
          <w:lang w:eastAsia="zh-CN"/>
        </w:rPr>
      </w:pPr>
      <w:r>
        <w:rPr>
          <w:rFonts w:hint="eastAsia" w:ascii="宋体" w:hAnsi="宋体" w:eastAsia="宋体" w:cs="宋体"/>
          <w:b/>
          <w:bCs/>
          <w:i w:val="0"/>
          <w:iCs w:val="0"/>
          <w:color w:val="auto"/>
          <w:spacing w:val="0"/>
          <w:sz w:val="24"/>
          <w:szCs w:val="24"/>
          <w:highlight w:val="none"/>
        </w:rPr>
        <w:t>投标单位签字</w:t>
      </w:r>
      <w:r>
        <w:rPr>
          <w:rFonts w:hint="eastAsia" w:ascii="宋体" w:hAnsi="宋体" w:eastAsia="宋体" w:cs="宋体"/>
          <w:b/>
          <w:bCs/>
          <w:i w:val="0"/>
          <w:iCs w:val="0"/>
          <w:color w:val="auto"/>
          <w:spacing w:val="0"/>
          <w:sz w:val="24"/>
          <w:szCs w:val="24"/>
          <w:highlight w:val="none"/>
          <w:lang w:eastAsia="zh-CN"/>
        </w:rPr>
        <w:t>：</w:t>
      </w:r>
    </w:p>
    <w:p w14:paraId="1F03A67F">
      <w:pPr>
        <w:pStyle w:val="3"/>
        <w:keepNext w:val="0"/>
        <w:keepLines w:val="0"/>
        <w:pageBreakBefore w:val="0"/>
        <w:widowControl w:val="0"/>
        <w:kinsoku/>
        <w:wordWrap/>
        <w:overflowPunct/>
        <w:topLinePunct w:val="0"/>
        <w:autoSpaceDE w:val="0"/>
        <w:autoSpaceDN w:val="0"/>
        <w:bidi w:val="0"/>
        <w:adjustRightInd w:val="0"/>
        <w:snapToGrid w:val="0"/>
        <w:spacing w:line="400" w:lineRule="exact"/>
        <w:ind w:left="0" w:leftChars="0" w:right="0" w:rightChars="0" w:firstLine="3373" w:firstLineChars="1400"/>
        <w:jc w:val="right"/>
        <w:textAlignment w:val="auto"/>
        <w:rPr>
          <w:rFonts w:hint="eastAsia" w:ascii="宋体" w:hAnsi="宋体" w:eastAsia="宋体" w:cs="宋体"/>
          <w:b/>
          <w:bCs/>
          <w:color w:val="FF0000"/>
          <w:spacing w:val="-7"/>
          <w:sz w:val="24"/>
          <w:szCs w:val="24"/>
          <w:highlight w:val="none"/>
          <w:u w:val="single"/>
          <w:lang w:val="en-US" w:eastAsia="zh-CN"/>
        </w:rPr>
      </w:pPr>
      <w:r>
        <w:rPr>
          <w:rFonts w:hint="eastAsia" w:ascii="宋体" w:hAnsi="宋体" w:eastAsia="宋体" w:cs="宋体"/>
          <w:b/>
          <w:bCs/>
          <w:i w:val="0"/>
          <w:iCs w:val="0"/>
          <w:color w:val="auto"/>
          <w:spacing w:val="0"/>
          <w:sz w:val="24"/>
          <w:szCs w:val="24"/>
          <w:highlight w:val="none"/>
        </w:rPr>
        <w:t>日期：</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月</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日</w:t>
      </w:r>
    </w:p>
    <w:p w14:paraId="138F45DD">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both"/>
        <w:textAlignment w:val="auto"/>
        <w:outlineLvl w:val="1"/>
        <w:rPr>
          <w:rFonts w:hint="default" w:ascii="宋体" w:hAnsi="宋体" w:eastAsia="宋体" w:cs="宋体"/>
          <w:b/>
          <w:bCs/>
          <w:i w:val="0"/>
          <w:iCs w:val="0"/>
          <w:color w:val="auto"/>
          <w:spacing w:val="0"/>
          <w:kern w:val="0"/>
          <w:sz w:val="24"/>
          <w:szCs w:val="24"/>
          <w:highlight w:val="none"/>
          <w:lang w:val="en-US" w:eastAsia="zh-CN" w:bidi="ar-SA"/>
        </w:rPr>
      </w:pPr>
      <w:r>
        <w:rPr>
          <w:rFonts w:hint="eastAsia" w:ascii="宋体" w:hAnsi="宋体" w:eastAsia="宋体" w:cs="宋体"/>
          <w:b/>
          <w:bCs/>
          <w:i w:val="0"/>
          <w:iCs w:val="0"/>
          <w:color w:val="auto"/>
          <w:spacing w:val="0"/>
          <w:kern w:val="0"/>
          <w:sz w:val="24"/>
          <w:szCs w:val="24"/>
          <w:highlight w:val="none"/>
          <w:lang w:val="en-US" w:eastAsia="zh-CN" w:bidi="ar-SA"/>
        </w:rPr>
        <w:br w:type="page"/>
      </w:r>
      <w:r>
        <w:rPr>
          <w:rFonts w:hint="eastAsia" w:ascii="宋体" w:hAnsi="宋体" w:eastAsia="宋体" w:cs="宋体"/>
          <w:b/>
          <w:bCs/>
          <w:i w:val="0"/>
          <w:iCs w:val="0"/>
          <w:color w:val="auto"/>
          <w:spacing w:val="0"/>
          <w:kern w:val="0"/>
          <w:sz w:val="24"/>
          <w:szCs w:val="24"/>
          <w:highlight w:val="none"/>
          <w:lang w:val="en-US" w:eastAsia="zh-CN" w:bidi="ar-SA"/>
        </w:rPr>
        <w:t>附件3：</w:t>
      </w:r>
    </w:p>
    <w:p w14:paraId="19209468">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宋体" w:hAnsi="宋体" w:eastAsia="宋体" w:cs="宋体"/>
          <w:b/>
          <w:bCs/>
          <w:i w:val="0"/>
          <w:iCs w:val="0"/>
          <w:color w:val="auto"/>
          <w:spacing w:val="0"/>
          <w:kern w:val="0"/>
          <w:sz w:val="28"/>
          <w:szCs w:val="28"/>
          <w:highlight w:val="none"/>
          <w:lang w:val="en-US" w:eastAsia="zh-CN" w:bidi="ar-SA"/>
        </w:rPr>
      </w:pPr>
      <w:r>
        <w:rPr>
          <w:rFonts w:hint="eastAsia" w:ascii="宋体" w:hAnsi="宋体" w:eastAsia="宋体" w:cs="宋体"/>
          <w:b/>
          <w:bCs/>
          <w:i w:val="0"/>
          <w:iCs w:val="0"/>
          <w:color w:val="auto"/>
          <w:spacing w:val="0"/>
          <w:kern w:val="0"/>
          <w:sz w:val="28"/>
          <w:szCs w:val="28"/>
          <w:highlight w:val="none"/>
          <w:lang w:val="en-US" w:eastAsia="zh-CN" w:bidi="ar-SA"/>
        </w:rPr>
        <w:t>能力值审查表</w:t>
      </w:r>
    </w:p>
    <w:p w14:paraId="0CE4F0BB">
      <w:pPr>
        <w:spacing w:line="240" w:lineRule="auto"/>
        <w:ind w:firstLine="0" w:firstLineChars="0"/>
        <w:jc w:val="left"/>
        <w:textAlignment w:val="center"/>
        <w:rPr>
          <w:rFonts w:hint="eastAsia" w:ascii="宋体" w:hAnsi="宋体" w:eastAsia="宋体" w:cs="宋体"/>
          <w:b/>
          <w:bCs/>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lang w:val="en-US" w:eastAsia="zh-CN"/>
        </w:rPr>
        <w:t>投标供应商名称：</w:t>
      </w:r>
    </w:p>
    <w:tbl>
      <w:tblPr>
        <w:tblStyle w:val="7"/>
        <w:tblW w:w="9364" w:type="dxa"/>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5359"/>
        <w:gridCol w:w="1283"/>
        <w:gridCol w:w="1933"/>
      </w:tblGrid>
      <w:tr w14:paraId="3C3E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9" w:type="dxa"/>
            <w:noWrap w:val="0"/>
            <w:vAlign w:val="center"/>
          </w:tcPr>
          <w:p w14:paraId="32B38CA9">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b/>
                <w:bCs/>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lang w:val="zh-CN" w:eastAsia="zh-CN"/>
              </w:rPr>
              <w:t>序号</w:t>
            </w:r>
          </w:p>
        </w:tc>
        <w:tc>
          <w:tcPr>
            <w:tcW w:w="5359" w:type="dxa"/>
            <w:noWrap w:val="0"/>
            <w:vAlign w:val="center"/>
          </w:tcPr>
          <w:p w14:paraId="12D14B04">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b/>
                <w:bCs/>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lang w:val="en-US" w:eastAsia="zh-CN"/>
              </w:rPr>
              <w:t>审查内容</w:t>
            </w:r>
          </w:p>
        </w:tc>
        <w:tc>
          <w:tcPr>
            <w:tcW w:w="1283" w:type="dxa"/>
            <w:noWrap w:val="0"/>
            <w:vAlign w:val="center"/>
          </w:tcPr>
          <w:p w14:paraId="1581DDF6">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b/>
                <w:bCs/>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lang w:val="en-US" w:eastAsia="zh-CN"/>
              </w:rPr>
              <w:t>审查</w:t>
            </w:r>
            <w:r>
              <w:rPr>
                <w:rFonts w:hint="eastAsia" w:ascii="宋体" w:hAnsi="宋体" w:eastAsia="宋体" w:cs="宋体"/>
                <w:b/>
                <w:bCs/>
                <w:color w:val="auto"/>
                <w:spacing w:val="-1"/>
                <w:sz w:val="24"/>
                <w:szCs w:val="24"/>
                <w:highlight w:val="none"/>
                <w:lang w:val="zh-CN" w:eastAsia="zh-CN"/>
              </w:rPr>
              <w:t>内容及方式</w:t>
            </w:r>
          </w:p>
        </w:tc>
        <w:tc>
          <w:tcPr>
            <w:tcW w:w="1933" w:type="dxa"/>
            <w:noWrap w:val="0"/>
            <w:vAlign w:val="center"/>
          </w:tcPr>
          <w:p w14:paraId="149872F2">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b/>
                <w:bCs/>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lang w:val="en-US" w:eastAsia="zh-CN"/>
              </w:rPr>
              <w:t>审查</w:t>
            </w:r>
            <w:r>
              <w:rPr>
                <w:rFonts w:hint="eastAsia" w:ascii="宋体" w:hAnsi="宋体" w:eastAsia="宋体" w:cs="宋体"/>
                <w:b/>
                <w:bCs/>
                <w:color w:val="auto"/>
                <w:spacing w:val="-1"/>
                <w:sz w:val="24"/>
                <w:szCs w:val="24"/>
                <w:highlight w:val="none"/>
                <w:lang w:val="zh-CN" w:eastAsia="zh-CN"/>
              </w:rPr>
              <w:t>情况</w:t>
            </w:r>
          </w:p>
        </w:tc>
      </w:tr>
      <w:tr w14:paraId="5EBA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2" w:hRule="atLeast"/>
        </w:trPr>
        <w:tc>
          <w:tcPr>
            <w:tcW w:w="789" w:type="dxa"/>
            <w:noWrap w:val="0"/>
            <w:vAlign w:val="center"/>
          </w:tcPr>
          <w:p w14:paraId="6403F138">
            <w:pPr>
              <w:keepNext w:val="0"/>
              <w:keepLines w:val="0"/>
              <w:suppressLineNumbers w:val="0"/>
              <w:spacing w:before="0" w:beforeAutospacing="0" w:after="0" w:afterAutospacing="0" w:line="240" w:lineRule="auto"/>
              <w:ind w:left="0" w:right="0" w:firstLine="0" w:firstLineChars="0"/>
              <w:jc w:val="center"/>
              <w:textAlignment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lang w:val="en-US" w:eastAsia="zh-CN"/>
              </w:rPr>
              <w:t>1</w:t>
            </w:r>
          </w:p>
        </w:tc>
        <w:tc>
          <w:tcPr>
            <w:tcW w:w="5359" w:type="dxa"/>
            <w:noWrap w:val="0"/>
            <w:vAlign w:val="center"/>
          </w:tcPr>
          <w:p w14:paraId="3E12A217">
            <w:pPr>
              <w:keepNext w:val="0"/>
              <w:keepLines w:val="0"/>
              <w:suppressLineNumbers w:val="0"/>
              <w:spacing w:before="0" w:beforeAutospacing="0" w:after="0" w:afterAutospacing="0" w:line="240" w:lineRule="auto"/>
              <w:ind w:left="0" w:right="0"/>
              <w:jc w:val="left"/>
              <w:textAlignment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除上述资格审查外，供应商还须提供能力值自审材料，包括：</w:t>
            </w:r>
          </w:p>
          <w:p w14:paraId="4F72DBAB">
            <w:pPr>
              <w:keepNext w:val="0"/>
              <w:keepLines w:val="0"/>
              <w:suppressLineNumbers w:val="0"/>
              <w:spacing w:before="0" w:beforeAutospacing="0" w:after="0" w:afterAutospacing="0" w:line="240" w:lineRule="auto"/>
              <w:ind w:left="239" w:right="0" w:hanging="238" w:hangingChars="100"/>
              <w:jc w:val="left"/>
              <w:textAlignment w:val="center"/>
              <w:rPr>
                <w:rFonts w:hint="eastAsia" w:ascii="宋体" w:hAnsi="宋体" w:eastAsia="宋体" w:cs="宋体"/>
                <w:b w:val="0"/>
                <w:bCs w:val="0"/>
                <w:color w:val="auto"/>
                <w:spacing w:val="-1"/>
                <w:sz w:val="24"/>
                <w:szCs w:val="24"/>
                <w:highlight w:val="none"/>
                <w:lang w:val="en-US" w:eastAsia="zh-CN"/>
              </w:rPr>
            </w:pPr>
            <w:r>
              <w:rPr>
                <w:rFonts w:hint="eastAsia" w:ascii="宋体" w:hAnsi="宋体" w:eastAsia="宋体" w:cs="宋体"/>
                <w:b w:val="0"/>
                <w:bCs w:val="0"/>
                <w:color w:val="auto"/>
                <w:spacing w:val="-1"/>
                <w:sz w:val="24"/>
                <w:szCs w:val="24"/>
                <w:highlight w:val="none"/>
                <w:lang w:val="en-US" w:eastAsia="zh-CN"/>
              </w:rPr>
              <w:t>1.拟投入</w:t>
            </w:r>
            <w:r>
              <w:rPr>
                <w:rFonts w:hint="eastAsia" w:ascii="宋体" w:hAnsi="宋体" w:cs="宋体"/>
                <w:b w:val="0"/>
                <w:bCs w:val="0"/>
                <w:color w:val="auto"/>
                <w:spacing w:val="-1"/>
                <w:sz w:val="24"/>
                <w:szCs w:val="24"/>
                <w:highlight w:val="none"/>
                <w:lang w:val="en-US" w:eastAsia="zh-CN"/>
              </w:rPr>
              <w:t>本项目</w:t>
            </w:r>
            <w:r>
              <w:rPr>
                <w:rFonts w:hint="eastAsia" w:ascii="宋体" w:hAnsi="宋体" w:eastAsia="宋体" w:cs="宋体"/>
                <w:b w:val="0"/>
                <w:bCs w:val="0"/>
                <w:color w:val="auto"/>
                <w:spacing w:val="-1"/>
                <w:sz w:val="24"/>
                <w:szCs w:val="24"/>
                <w:highlight w:val="none"/>
                <w:lang w:val="en-US" w:eastAsia="zh-CN"/>
              </w:rPr>
              <w:t>配送的车辆数量及车辆相关材料：提供车辆产权证明材料，提供车辆行驶证、登记证及有效交强险保险单，保险单中须注明厂牌型号和使用性质且使用性质为特殊用途车辆；服务于本项目</w:t>
            </w:r>
            <w:r>
              <w:rPr>
                <w:rFonts w:hint="eastAsia" w:ascii="宋体" w:hAnsi="宋体" w:eastAsia="宋体" w:cs="宋体"/>
                <w:b w:val="0"/>
                <w:bCs w:val="0"/>
                <w:color w:val="auto"/>
                <w:spacing w:val="-1"/>
                <w:sz w:val="24"/>
                <w:szCs w:val="24"/>
                <w:highlight w:val="none"/>
                <w:lang w:val="zh-CN" w:eastAsia="zh-CN"/>
              </w:rPr>
              <w:t>的</w:t>
            </w:r>
            <w:r>
              <w:rPr>
                <w:rFonts w:hint="eastAsia" w:ascii="宋体" w:hAnsi="宋体" w:eastAsia="宋体" w:cs="宋体"/>
                <w:b w:val="0"/>
                <w:bCs w:val="0"/>
                <w:color w:val="auto"/>
                <w:spacing w:val="-1"/>
                <w:sz w:val="24"/>
                <w:szCs w:val="24"/>
                <w:highlight w:val="none"/>
                <w:lang w:val="en-US" w:eastAsia="zh-CN"/>
              </w:rPr>
              <w:t>冷链车辆总数，核查车辆行驶证及登记证（需登记在投标人名下）且已通过年检，车辆配备卫星定位系统〈提供中标后接入江苏省阳光食堂信息化监管平台苏州模块承诺函〉和车厢内部视频监控）</w:t>
            </w:r>
            <w:r>
              <w:rPr>
                <w:rFonts w:hint="eastAsia" w:ascii="宋体" w:hAnsi="宋体" w:eastAsia="宋体" w:cs="宋体"/>
                <w:b w:val="0"/>
                <w:bCs w:val="0"/>
                <w:color w:val="auto"/>
                <w:spacing w:val="-1"/>
                <w:sz w:val="24"/>
                <w:szCs w:val="24"/>
                <w:highlight w:val="none"/>
                <w:lang w:eastAsia="zh-CN"/>
              </w:rPr>
              <w:t>；</w:t>
            </w:r>
          </w:p>
          <w:p w14:paraId="0BBC8FB0">
            <w:pPr>
              <w:keepNext w:val="0"/>
              <w:keepLines w:val="0"/>
              <w:suppressLineNumbers w:val="0"/>
              <w:spacing w:before="0" w:beforeAutospacing="0" w:after="0" w:afterAutospacing="0" w:line="240" w:lineRule="auto"/>
              <w:ind w:left="239" w:right="0" w:hanging="238" w:hangingChars="100"/>
              <w:jc w:val="left"/>
              <w:textAlignment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val="0"/>
                <w:bCs w:val="0"/>
                <w:color w:val="auto"/>
                <w:spacing w:val="-1"/>
                <w:sz w:val="24"/>
                <w:szCs w:val="24"/>
                <w:highlight w:val="none"/>
                <w:lang w:val="en-US" w:eastAsia="zh-CN"/>
              </w:rPr>
              <w:t>2.具体的拟投入本项目的人员及人员相关材料：提供投标单位在报名</w:t>
            </w:r>
            <w:r>
              <w:rPr>
                <w:rFonts w:hint="eastAsia" w:ascii="宋体" w:hAnsi="宋体" w:eastAsia="宋体" w:cs="宋体"/>
                <w:color w:val="auto"/>
                <w:spacing w:val="-1"/>
                <w:sz w:val="24"/>
                <w:szCs w:val="24"/>
                <w:highlight w:val="none"/>
                <w:lang w:val="en-US" w:eastAsia="zh-CN"/>
              </w:rPr>
              <w:t>截止时间前为其缴纳三个月及以上社保、有效健康证明及公安部门出具的无犯罪记录证明</w:t>
            </w:r>
            <w:r>
              <w:rPr>
                <w:rFonts w:hint="eastAsia" w:ascii="宋体" w:hAnsi="宋体" w:eastAsia="宋体" w:cs="宋体"/>
                <w:color w:val="auto"/>
                <w:spacing w:val="-1"/>
                <w:sz w:val="24"/>
                <w:szCs w:val="24"/>
                <w:highlight w:val="none"/>
              </w:rPr>
              <w:t>。</w:t>
            </w:r>
          </w:p>
          <w:p w14:paraId="6BAB2596">
            <w:pPr>
              <w:keepNext w:val="0"/>
              <w:keepLines w:val="0"/>
              <w:suppressLineNumbers w:val="0"/>
              <w:spacing w:before="0" w:beforeAutospacing="0" w:after="0" w:afterAutospacing="0" w:line="240" w:lineRule="auto"/>
              <w:ind w:left="437" w:leftChars="0" w:right="0" w:hanging="437" w:hangingChars="183"/>
              <w:jc w:val="left"/>
              <w:textAlignment w:val="center"/>
              <w:rPr>
                <w:rFonts w:hint="eastAsia" w:ascii="宋体" w:hAnsi="宋体" w:eastAsia="宋体" w:cs="宋体"/>
                <w:color w:val="auto"/>
                <w:spacing w:val="-1"/>
                <w:sz w:val="24"/>
                <w:szCs w:val="24"/>
                <w:highlight w:val="none"/>
                <w:u w:val="single"/>
                <w:lang w:val="en-US" w:eastAsia="zh-CN"/>
              </w:rPr>
            </w:pPr>
            <w:r>
              <w:rPr>
                <w:rFonts w:hint="eastAsia" w:ascii="宋体" w:hAnsi="宋体" w:eastAsia="宋体" w:cs="宋体"/>
                <w:b/>
                <w:bCs/>
                <w:color w:val="auto"/>
                <w:spacing w:val="-1"/>
                <w:sz w:val="24"/>
                <w:szCs w:val="24"/>
                <w:highlight w:val="none"/>
                <w:u w:val="single"/>
                <w:lang w:val="en-US" w:eastAsia="zh-CN"/>
              </w:rPr>
              <w:t>注：1.能力值界定：</w:t>
            </w:r>
            <w:r>
              <w:rPr>
                <w:rFonts w:hint="eastAsia" w:ascii="宋体" w:hAnsi="宋体" w:eastAsia="宋体" w:cs="宋体"/>
                <w:color w:val="auto"/>
                <w:spacing w:val="-1"/>
                <w:sz w:val="24"/>
                <w:szCs w:val="24"/>
                <w:highlight w:val="none"/>
                <w:u w:val="single"/>
                <w:lang w:val="en-US" w:eastAsia="zh-CN"/>
              </w:rPr>
              <w:t>配送商能力值全市统一明确</w:t>
            </w:r>
          </w:p>
          <w:p w14:paraId="5F25444E">
            <w:pPr>
              <w:keepNext w:val="0"/>
              <w:keepLines w:val="0"/>
              <w:suppressLineNumbers w:val="0"/>
              <w:spacing w:before="0" w:beforeAutospacing="0" w:after="0" w:afterAutospacing="0" w:line="240" w:lineRule="auto"/>
              <w:ind w:left="475" w:leftChars="226" w:right="0" w:firstLine="40" w:firstLineChars="17"/>
              <w:jc w:val="left"/>
              <w:textAlignment w:val="center"/>
              <w:rPr>
                <w:rFonts w:hint="eastAsia" w:ascii="宋体" w:hAnsi="宋体" w:eastAsia="宋体" w:cs="宋体"/>
                <w:color w:val="auto"/>
                <w:spacing w:val="-1"/>
                <w:sz w:val="24"/>
                <w:szCs w:val="24"/>
                <w:highlight w:val="none"/>
                <w:u w:val="single"/>
                <w:lang w:val="en-US" w:eastAsia="zh-CN"/>
              </w:rPr>
            </w:pPr>
            <w:r>
              <w:rPr>
                <w:rFonts w:hint="eastAsia" w:ascii="宋体" w:hAnsi="宋体" w:eastAsia="宋体" w:cs="宋体"/>
                <w:color w:val="auto"/>
                <w:spacing w:val="-1"/>
                <w:sz w:val="24"/>
                <w:szCs w:val="24"/>
                <w:highlight w:val="none"/>
                <w:u w:val="single"/>
                <w:lang w:val="en-US" w:eastAsia="zh-CN"/>
              </w:rPr>
              <w:t>1能力值=1辆冷链车＋2位配送人员（含司机），车辆须为企业自有车辆，人员为企业的固定人员，并要求提供人员无犯罪及健康证明。</w:t>
            </w:r>
          </w:p>
          <w:p w14:paraId="320EDDFD">
            <w:pPr>
              <w:keepNext w:val="0"/>
              <w:keepLines w:val="0"/>
              <w:suppressLineNumbers w:val="0"/>
              <w:spacing w:before="0" w:beforeAutospacing="0" w:after="0" w:afterAutospacing="0" w:line="240" w:lineRule="auto"/>
              <w:ind w:left="475" w:leftChars="226" w:right="0" w:firstLine="41" w:firstLineChars="17"/>
              <w:jc w:val="left"/>
              <w:textAlignment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u w:val="single"/>
                <w:lang w:val="en-US" w:eastAsia="zh-CN"/>
              </w:rPr>
              <w:t>2.单元体划设：</w:t>
            </w:r>
            <w:r>
              <w:rPr>
                <w:rFonts w:hint="eastAsia" w:ascii="宋体" w:hAnsi="宋体" w:eastAsia="宋体" w:cs="宋体"/>
                <w:color w:val="auto"/>
                <w:spacing w:val="-1"/>
                <w:sz w:val="24"/>
                <w:szCs w:val="24"/>
                <w:highlight w:val="none"/>
                <w:u w:val="single"/>
                <w:lang w:val="en-US" w:eastAsia="zh-CN"/>
              </w:rPr>
              <w:t>各地综合考虑学校特点、地理位置等情况划设单元体，并赋予每个单元体对应的能力值，供应商能力值需服从全市统筹。</w:t>
            </w:r>
          </w:p>
        </w:tc>
        <w:tc>
          <w:tcPr>
            <w:tcW w:w="1283" w:type="dxa"/>
            <w:noWrap w:val="0"/>
            <w:vAlign w:val="center"/>
          </w:tcPr>
          <w:p w14:paraId="62219724">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zh-CN" w:eastAsia="zh-CN"/>
              </w:rPr>
              <w:t>现场核查</w:t>
            </w:r>
          </w:p>
        </w:tc>
        <w:tc>
          <w:tcPr>
            <w:tcW w:w="1933" w:type="dxa"/>
            <w:noWrap w:val="0"/>
            <w:vAlign w:val="center"/>
          </w:tcPr>
          <w:p w14:paraId="76B77B42">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cs="宋体"/>
                <w:b w:val="0"/>
                <w:bCs w:val="0"/>
                <w:color w:val="auto"/>
                <w:spacing w:val="-1"/>
                <w:sz w:val="24"/>
                <w:szCs w:val="24"/>
                <w:highlight w:val="none"/>
                <w:lang w:val="en-US" w:eastAsia="zh-CN"/>
              </w:rPr>
            </w:pPr>
            <w:r>
              <w:rPr>
                <w:rFonts w:hint="eastAsia" w:ascii="宋体" w:hAnsi="宋体" w:eastAsia="宋体" w:cs="宋体"/>
                <w:b w:val="0"/>
                <w:bCs w:val="0"/>
                <w:color w:val="auto"/>
                <w:spacing w:val="-1"/>
                <w:sz w:val="24"/>
                <w:szCs w:val="24"/>
                <w:highlight w:val="none"/>
                <w:lang w:val="en-US" w:eastAsia="zh-CN"/>
              </w:rPr>
              <w:t>总能力值</w:t>
            </w:r>
            <w:r>
              <w:rPr>
                <w:rFonts w:hint="eastAsia" w:ascii="宋体" w:hAnsi="宋体" w:cs="宋体"/>
                <w:b w:val="0"/>
                <w:bCs w:val="0"/>
                <w:color w:val="auto"/>
                <w:spacing w:val="-1"/>
                <w:sz w:val="24"/>
                <w:szCs w:val="24"/>
                <w:highlight w:val="none"/>
                <w:lang w:val="en-US" w:eastAsia="zh-CN"/>
              </w:rPr>
              <w:t>：</w:t>
            </w:r>
          </w:p>
          <w:p w14:paraId="6069EE55">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b w:val="0"/>
                <w:bCs w:val="0"/>
                <w:color w:val="auto"/>
                <w:spacing w:val="-1"/>
                <w:sz w:val="24"/>
                <w:szCs w:val="24"/>
                <w:highlight w:val="none"/>
                <w:u w:val="none"/>
                <w:lang w:val="en-US" w:eastAsia="zh-CN"/>
              </w:rPr>
            </w:pPr>
            <w:r>
              <w:rPr>
                <w:rFonts w:hint="eastAsia" w:ascii="宋体" w:hAnsi="宋体" w:eastAsia="宋体" w:cs="宋体"/>
                <w:b w:val="0"/>
                <w:bCs w:val="0"/>
                <w:color w:val="auto"/>
                <w:spacing w:val="-1"/>
                <w:sz w:val="24"/>
                <w:szCs w:val="24"/>
                <w:highlight w:val="none"/>
                <w:u w:val="single"/>
                <w:lang w:val="en-US" w:eastAsia="zh-CN"/>
              </w:rPr>
              <w:t xml:space="preserve">        </w:t>
            </w:r>
            <w:r>
              <w:rPr>
                <w:rFonts w:hint="eastAsia" w:ascii="宋体" w:hAnsi="宋体" w:eastAsia="宋体" w:cs="宋体"/>
                <w:b w:val="0"/>
                <w:bCs w:val="0"/>
                <w:color w:val="auto"/>
                <w:spacing w:val="-1"/>
                <w:sz w:val="24"/>
                <w:szCs w:val="24"/>
                <w:highlight w:val="none"/>
                <w:u w:val="none"/>
                <w:lang w:val="en-US" w:eastAsia="zh-CN"/>
              </w:rPr>
              <w:t>个</w:t>
            </w:r>
          </w:p>
          <w:p w14:paraId="381166C3">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b w:val="0"/>
                <w:bCs w:val="0"/>
                <w:color w:val="auto"/>
                <w:spacing w:val="-1"/>
                <w:sz w:val="24"/>
                <w:szCs w:val="24"/>
                <w:highlight w:val="none"/>
                <w:lang w:val="en-US" w:eastAsia="zh-CN"/>
              </w:rPr>
            </w:pPr>
            <w:r>
              <w:rPr>
                <w:rFonts w:hint="eastAsia" w:ascii="宋体" w:hAnsi="宋体" w:eastAsia="宋体" w:cs="宋体"/>
                <w:b w:val="0"/>
                <w:bCs w:val="0"/>
                <w:color w:val="auto"/>
                <w:spacing w:val="-1"/>
                <w:sz w:val="24"/>
                <w:szCs w:val="24"/>
                <w:highlight w:val="none"/>
                <w:lang w:val="en-US" w:eastAsia="zh-CN"/>
              </w:rPr>
              <w:t>其中车辆总数：</w:t>
            </w:r>
          </w:p>
          <w:p w14:paraId="79512683">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b w:val="0"/>
                <w:bCs w:val="0"/>
                <w:color w:val="auto"/>
                <w:spacing w:val="-1"/>
                <w:sz w:val="24"/>
                <w:szCs w:val="24"/>
                <w:highlight w:val="none"/>
                <w:lang w:val="en-US" w:eastAsia="zh-CN"/>
              </w:rPr>
            </w:pPr>
            <w:r>
              <w:rPr>
                <w:rFonts w:hint="eastAsia" w:ascii="宋体" w:hAnsi="宋体" w:eastAsia="宋体" w:cs="宋体"/>
                <w:b w:val="0"/>
                <w:bCs w:val="0"/>
                <w:color w:val="auto"/>
                <w:spacing w:val="-1"/>
                <w:sz w:val="24"/>
                <w:szCs w:val="24"/>
                <w:highlight w:val="none"/>
                <w:u w:val="single"/>
                <w:lang w:val="en-US" w:eastAsia="zh-CN"/>
              </w:rPr>
              <w:t xml:space="preserve">        </w:t>
            </w:r>
            <w:r>
              <w:rPr>
                <w:rFonts w:hint="eastAsia" w:ascii="宋体" w:hAnsi="宋体" w:eastAsia="宋体" w:cs="宋体"/>
                <w:b w:val="0"/>
                <w:bCs w:val="0"/>
                <w:color w:val="auto"/>
                <w:spacing w:val="-1"/>
                <w:sz w:val="24"/>
                <w:szCs w:val="24"/>
                <w:highlight w:val="none"/>
                <w:lang w:val="en-US" w:eastAsia="zh-CN"/>
              </w:rPr>
              <w:t>辆</w:t>
            </w:r>
          </w:p>
          <w:p w14:paraId="434A000C">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b w:val="0"/>
                <w:bCs w:val="0"/>
                <w:color w:val="auto"/>
                <w:spacing w:val="-1"/>
                <w:sz w:val="24"/>
                <w:szCs w:val="24"/>
                <w:highlight w:val="none"/>
                <w:lang w:val="en-US" w:eastAsia="zh-CN"/>
              </w:rPr>
            </w:pPr>
            <w:r>
              <w:rPr>
                <w:rFonts w:hint="eastAsia" w:ascii="宋体" w:hAnsi="宋体" w:eastAsia="宋体" w:cs="宋体"/>
                <w:b w:val="0"/>
                <w:bCs w:val="0"/>
                <w:color w:val="auto"/>
                <w:spacing w:val="-1"/>
                <w:sz w:val="24"/>
                <w:szCs w:val="24"/>
                <w:highlight w:val="none"/>
                <w:lang w:val="en-US" w:eastAsia="zh-CN"/>
              </w:rPr>
              <w:t>人员总数：</w:t>
            </w:r>
          </w:p>
          <w:p w14:paraId="05555FA1">
            <w:pPr>
              <w:keepNext w:val="0"/>
              <w:keepLines w:val="0"/>
              <w:suppressLineNumbers w:val="0"/>
              <w:spacing w:before="0" w:beforeAutospacing="0" w:after="0" w:afterAutospacing="0" w:line="240" w:lineRule="auto"/>
              <w:ind w:left="0" w:right="0" w:firstLine="0" w:firstLineChars="0"/>
              <w:jc w:val="left"/>
              <w:textAlignment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b w:val="0"/>
                <w:bCs w:val="0"/>
                <w:color w:val="auto"/>
                <w:spacing w:val="-1"/>
                <w:sz w:val="24"/>
                <w:szCs w:val="24"/>
                <w:highlight w:val="none"/>
                <w:u w:val="single"/>
                <w:lang w:val="en-US" w:eastAsia="zh-CN"/>
              </w:rPr>
              <w:t xml:space="preserve">        </w:t>
            </w:r>
            <w:r>
              <w:rPr>
                <w:rFonts w:hint="eastAsia" w:ascii="宋体" w:hAnsi="宋体" w:eastAsia="宋体" w:cs="宋体"/>
                <w:b w:val="0"/>
                <w:bCs w:val="0"/>
                <w:color w:val="auto"/>
                <w:spacing w:val="-1"/>
                <w:sz w:val="24"/>
                <w:szCs w:val="24"/>
                <w:highlight w:val="none"/>
                <w:lang w:val="en-US" w:eastAsia="zh-CN"/>
              </w:rPr>
              <w:t>人</w:t>
            </w:r>
          </w:p>
        </w:tc>
      </w:tr>
    </w:tbl>
    <w:p w14:paraId="766E7358">
      <w:pPr>
        <w:pStyle w:val="3"/>
        <w:keepNext w:val="0"/>
        <w:keepLines w:val="0"/>
        <w:pageBreakBefore w:val="0"/>
        <w:widowControl w:val="0"/>
        <w:kinsoku/>
        <w:wordWrap/>
        <w:overflowPunct/>
        <w:topLinePunct w:val="0"/>
        <w:autoSpaceDE w:val="0"/>
        <w:autoSpaceDN w:val="0"/>
        <w:bidi w:val="0"/>
        <w:adjustRightInd w:val="0"/>
        <w:snapToGrid w:val="0"/>
        <w:spacing w:line="400" w:lineRule="exact"/>
        <w:ind w:left="723" w:right="0" w:rightChars="0" w:hanging="723" w:hangingChars="300"/>
        <w:jc w:val="both"/>
        <w:textAlignment w:val="auto"/>
        <w:rPr>
          <w:rFonts w:hint="eastAsia" w:ascii="宋体" w:hAnsi="宋体" w:eastAsia="宋体" w:cs="宋体"/>
          <w:b w:val="0"/>
          <w:bCs w:val="0"/>
          <w:i w:val="0"/>
          <w:iCs w:val="0"/>
          <w:color w:val="auto"/>
          <w:spacing w:val="0"/>
          <w:sz w:val="24"/>
          <w:szCs w:val="24"/>
          <w:highlight w:val="none"/>
          <w:u w:val="single"/>
          <w:lang w:val="en-US" w:eastAsia="zh-CN"/>
        </w:rPr>
      </w:pPr>
      <w:r>
        <w:rPr>
          <w:rFonts w:hint="eastAsia" w:ascii="宋体" w:hAnsi="宋体" w:eastAsia="宋体" w:cs="宋体"/>
          <w:b/>
          <w:bCs/>
          <w:i w:val="0"/>
          <w:iCs w:val="0"/>
          <w:color w:val="auto"/>
          <w:spacing w:val="0"/>
          <w:sz w:val="24"/>
          <w:szCs w:val="24"/>
          <w:highlight w:val="none"/>
          <w:u w:val="single"/>
          <w:lang w:val="en-US" w:eastAsia="zh-CN"/>
        </w:rPr>
        <w:t>注：</w:t>
      </w:r>
      <w:r>
        <w:rPr>
          <w:rFonts w:hint="eastAsia" w:ascii="宋体" w:hAnsi="宋体" w:eastAsia="宋体" w:cs="宋体"/>
          <w:b w:val="0"/>
          <w:bCs w:val="0"/>
          <w:i w:val="0"/>
          <w:iCs w:val="0"/>
          <w:color w:val="auto"/>
          <w:spacing w:val="0"/>
          <w:sz w:val="24"/>
          <w:szCs w:val="24"/>
          <w:highlight w:val="none"/>
          <w:u w:val="single"/>
          <w:lang w:val="en-US" w:eastAsia="zh-CN"/>
        </w:rPr>
        <w:t>1.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337EB6B6">
      <w:pPr>
        <w:pStyle w:val="3"/>
        <w:keepNext w:val="0"/>
        <w:keepLines w:val="0"/>
        <w:pageBreakBefore w:val="0"/>
        <w:widowControl w:val="0"/>
        <w:kinsoku/>
        <w:wordWrap/>
        <w:overflowPunct/>
        <w:topLinePunct w:val="0"/>
        <w:autoSpaceDE w:val="0"/>
        <w:autoSpaceDN w:val="0"/>
        <w:bidi w:val="0"/>
        <w:adjustRightInd w:val="0"/>
        <w:snapToGrid w:val="0"/>
        <w:spacing w:line="400" w:lineRule="exact"/>
        <w:ind w:left="719" w:leftChars="228" w:right="0" w:rightChars="0" w:hanging="240" w:hangingChars="100"/>
        <w:jc w:val="both"/>
        <w:textAlignment w:val="auto"/>
        <w:rPr>
          <w:rFonts w:hint="eastAsia" w:ascii="宋体" w:hAnsi="宋体" w:eastAsia="宋体" w:cs="宋体"/>
          <w:b w:val="0"/>
          <w:bCs w:val="0"/>
          <w:i w:val="0"/>
          <w:iCs w:val="0"/>
          <w:color w:val="auto"/>
          <w:spacing w:val="0"/>
          <w:sz w:val="24"/>
          <w:szCs w:val="24"/>
          <w:highlight w:val="none"/>
          <w:u w:val="single"/>
          <w:lang w:val="en-US" w:eastAsia="zh-CN"/>
        </w:rPr>
      </w:pPr>
      <w:r>
        <w:rPr>
          <w:rFonts w:hint="eastAsia" w:ascii="宋体" w:hAnsi="宋体" w:eastAsia="宋体" w:cs="宋体"/>
          <w:b w:val="0"/>
          <w:bCs w:val="0"/>
          <w:i w:val="0"/>
          <w:iCs w:val="0"/>
          <w:color w:val="auto"/>
          <w:spacing w:val="0"/>
          <w:sz w:val="24"/>
          <w:szCs w:val="24"/>
          <w:highlight w:val="none"/>
          <w:u w:val="single"/>
          <w:lang w:val="en-US" w:eastAsia="zh-CN"/>
        </w:rPr>
        <w:t>2.需无条件服从管理部门对能力值的调配。</w:t>
      </w:r>
    </w:p>
    <w:p w14:paraId="053418CF">
      <w:pPr>
        <w:pStyle w:val="3"/>
        <w:keepNext w:val="0"/>
        <w:keepLines w:val="0"/>
        <w:pageBreakBefore w:val="0"/>
        <w:widowControl w:val="0"/>
        <w:kinsoku/>
        <w:wordWrap/>
        <w:overflowPunct/>
        <w:topLinePunct w:val="0"/>
        <w:autoSpaceDE w:val="0"/>
        <w:autoSpaceDN w:val="0"/>
        <w:bidi w:val="0"/>
        <w:adjustRightInd w:val="0"/>
        <w:snapToGrid w:val="0"/>
        <w:spacing w:line="400" w:lineRule="exact"/>
        <w:ind w:right="0" w:rightChars="0"/>
        <w:jc w:val="both"/>
        <w:textAlignment w:val="auto"/>
        <w:rPr>
          <w:rFonts w:hint="eastAsia" w:ascii="宋体" w:hAnsi="宋体" w:eastAsia="宋体" w:cs="宋体"/>
          <w:b/>
          <w:bCs/>
          <w:i w:val="0"/>
          <w:iCs w:val="0"/>
          <w:color w:val="auto"/>
          <w:spacing w:val="0"/>
          <w:sz w:val="24"/>
          <w:szCs w:val="24"/>
          <w:highlight w:val="none"/>
        </w:rPr>
      </w:pPr>
      <w:r>
        <w:rPr>
          <w:rFonts w:hint="eastAsia" w:ascii="宋体" w:hAnsi="宋体" w:eastAsia="宋体" w:cs="宋体"/>
          <w:b/>
          <w:bCs/>
          <w:i w:val="0"/>
          <w:iCs w:val="0"/>
          <w:color w:val="auto"/>
          <w:spacing w:val="0"/>
          <w:sz w:val="24"/>
          <w:szCs w:val="24"/>
          <w:highlight w:val="none"/>
          <w:lang w:val="en-US" w:eastAsia="zh-CN"/>
        </w:rPr>
        <w:t>审查</w:t>
      </w:r>
      <w:r>
        <w:rPr>
          <w:rFonts w:hint="eastAsia" w:ascii="宋体" w:hAnsi="宋体" w:eastAsia="宋体" w:cs="宋体"/>
          <w:b/>
          <w:bCs/>
          <w:i w:val="0"/>
          <w:iCs w:val="0"/>
          <w:color w:val="auto"/>
          <w:spacing w:val="0"/>
          <w:sz w:val="24"/>
          <w:szCs w:val="24"/>
          <w:highlight w:val="none"/>
        </w:rPr>
        <w:t>小组全体成员签字：</w:t>
      </w:r>
    </w:p>
    <w:p w14:paraId="09484C0A">
      <w:pPr>
        <w:pStyle w:val="3"/>
        <w:keepNext w:val="0"/>
        <w:keepLines w:val="0"/>
        <w:pageBreakBefore w:val="0"/>
        <w:widowControl w:val="0"/>
        <w:kinsoku/>
        <w:wordWrap/>
        <w:overflowPunct/>
        <w:topLinePunct w:val="0"/>
        <w:autoSpaceDE w:val="0"/>
        <w:autoSpaceDN w:val="0"/>
        <w:bidi w:val="0"/>
        <w:adjustRightInd w:val="0"/>
        <w:snapToGrid w:val="0"/>
        <w:spacing w:line="400" w:lineRule="exact"/>
        <w:ind w:left="0" w:leftChars="0" w:right="0" w:rightChars="0" w:firstLine="482" w:firstLineChars="200"/>
        <w:jc w:val="both"/>
        <w:textAlignment w:val="auto"/>
        <w:rPr>
          <w:rFonts w:hint="eastAsia" w:ascii="宋体" w:hAnsi="宋体" w:eastAsia="宋体" w:cs="宋体"/>
          <w:b/>
          <w:bCs/>
          <w:i w:val="0"/>
          <w:iCs w:val="0"/>
          <w:color w:val="auto"/>
          <w:spacing w:val="0"/>
          <w:sz w:val="24"/>
          <w:szCs w:val="24"/>
          <w:highlight w:val="none"/>
        </w:rPr>
      </w:pPr>
    </w:p>
    <w:p w14:paraId="3F929790">
      <w:pPr>
        <w:pStyle w:val="3"/>
        <w:keepNext w:val="0"/>
        <w:keepLines w:val="0"/>
        <w:pageBreakBefore w:val="0"/>
        <w:widowControl w:val="0"/>
        <w:kinsoku/>
        <w:wordWrap/>
        <w:overflowPunct/>
        <w:topLinePunct w:val="0"/>
        <w:autoSpaceDE w:val="0"/>
        <w:autoSpaceDN w:val="0"/>
        <w:bidi w:val="0"/>
        <w:adjustRightInd w:val="0"/>
        <w:snapToGrid w:val="0"/>
        <w:spacing w:line="400" w:lineRule="exact"/>
        <w:ind w:right="0" w:rightChars="0"/>
        <w:jc w:val="both"/>
        <w:textAlignment w:val="auto"/>
        <w:rPr>
          <w:rFonts w:hint="eastAsia" w:ascii="宋体" w:hAnsi="宋体" w:eastAsia="宋体" w:cs="宋体"/>
          <w:b/>
          <w:bCs/>
          <w:i w:val="0"/>
          <w:iCs w:val="0"/>
          <w:color w:val="auto"/>
          <w:spacing w:val="0"/>
          <w:sz w:val="24"/>
          <w:szCs w:val="24"/>
          <w:highlight w:val="none"/>
          <w:lang w:eastAsia="zh-CN"/>
        </w:rPr>
      </w:pPr>
      <w:r>
        <w:rPr>
          <w:rFonts w:hint="eastAsia" w:ascii="宋体" w:hAnsi="宋体" w:eastAsia="宋体" w:cs="宋体"/>
          <w:b/>
          <w:bCs/>
          <w:i w:val="0"/>
          <w:iCs w:val="0"/>
          <w:color w:val="auto"/>
          <w:spacing w:val="0"/>
          <w:sz w:val="24"/>
          <w:szCs w:val="24"/>
          <w:highlight w:val="none"/>
        </w:rPr>
        <w:t>投标单位签字</w:t>
      </w:r>
      <w:r>
        <w:rPr>
          <w:rFonts w:hint="eastAsia" w:ascii="宋体" w:hAnsi="宋体" w:eastAsia="宋体" w:cs="宋体"/>
          <w:b/>
          <w:bCs/>
          <w:i w:val="0"/>
          <w:iCs w:val="0"/>
          <w:color w:val="auto"/>
          <w:spacing w:val="0"/>
          <w:sz w:val="24"/>
          <w:szCs w:val="24"/>
          <w:highlight w:val="none"/>
          <w:lang w:eastAsia="zh-CN"/>
        </w:rPr>
        <w:t>：</w:t>
      </w:r>
    </w:p>
    <w:p w14:paraId="4F69F8E9">
      <w:pPr>
        <w:pStyle w:val="3"/>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right"/>
        <w:textAlignment w:val="auto"/>
        <w:rPr>
          <w:rFonts w:hint="eastAsia" w:ascii="宋体" w:hAnsi="宋体" w:eastAsia="宋体" w:cs="宋体"/>
          <w:b/>
          <w:bCs/>
          <w:kern w:val="44"/>
          <w:position w:val="6"/>
          <w:sz w:val="24"/>
          <w:szCs w:val="24"/>
          <w:highlight w:val="none"/>
        </w:rPr>
      </w:pPr>
      <w:r>
        <w:rPr>
          <w:rFonts w:hint="eastAsia" w:ascii="宋体" w:hAnsi="宋体" w:eastAsia="宋体" w:cs="宋体"/>
          <w:b/>
          <w:bCs/>
          <w:i w:val="0"/>
          <w:iCs w:val="0"/>
          <w:color w:val="auto"/>
          <w:spacing w:val="0"/>
          <w:sz w:val="24"/>
          <w:szCs w:val="24"/>
          <w:highlight w:val="none"/>
        </w:rPr>
        <w:t>日期：</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月</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日</w:t>
      </w:r>
    </w:p>
    <w:sectPr>
      <w:pgSz w:w="11906" w:h="16838"/>
      <w:pgMar w:top="2098" w:right="1474"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Book Antiqua">
    <w:panose1 w:val="02040602050305030304"/>
    <w:charset w:val="00"/>
    <w:family w:val="roman"/>
    <w:pitch w:val="default"/>
    <w:sig w:usb0="00000287" w:usb1="000000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D3C0C"/>
    <w:rsid w:val="03DB3A7C"/>
    <w:rsid w:val="03E06E67"/>
    <w:rsid w:val="05253812"/>
    <w:rsid w:val="07097CB3"/>
    <w:rsid w:val="0B9A6334"/>
    <w:rsid w:val="0BB148A6"/>
    <w:rsid w:val="0C281F69"/>
    <w:rsid w:val="0C8430C7"/>
    <w:rsid w:val="0CDD2D53"/>
    <w:rsid w:val="0D5D3EC2"/>
    <w:rsid w:val="0E2F45E0"/>
    <w:rsid w:val="0EB16245"/>
    <w:rsid w:val="10495D89"/>
    <w:rsid w:val="108C51BC"/>
    <w:rsid w:val="10D97CD5"/>
    <w:rsid w:val="10F26257"/>
    <w:rsid w:val="12635AA8"/>
    <w:rsid w:val="12906956"/>
    <w:rsid w:val="12BC340B"/>
    <w:rsid w:val="12E82452"/>
    <w:rsid w:val="146E6986"/>
    <w:rsid w:val="156904BF"/>
    <w:rsid w:val="16FD7459"/>
    <w:rsid w:val="194F322A"/>
    <w:rsid w:val="19D950D9"/>
    <w:rsid w:val="19DE635C"/>
    <w:rsid w:val="1A257974"/>
    <w:rsid w:val="1A283F89"/>
    <w:rsid w:val="1A3A701D"/>
    <w:rsid w:val="1A936BCA"/>
    <w:rsid w:val="1BF754B3"/>
    <w:rsid w:val="1BFB4FA4"/>
    <w:rsid w:val="1C843E48"/>
    <w:rsid w:val="1CF245F9"/>
    <w:rsid w:val="1D943902"/>
    <w:rsid w:val="1F3D1AEC"/>
    <w:rsid w:val="1F4629DA"/>
    <w:rsid w:val="206A26F8"/>
    <w:rsid w:val="2094622D"/>
    <w:rsid w:val="21E954FD"/>
    <w:rsid w:val="23627FFE"/>
    <w:rsid w:val="23BD5235"/>
    <w:rsid w:val="2471674B"/>
    <w:rsid w:val="24D80578"/>
    <w:rsid w:val="24E91459"/>
    <w:rsid w:val="26325A66"/>
    <w:rsid w:val="27644345"/>
    <w:rsid w:val="27DF0BA6"/>
    <w:rsid w:val="281445DE"/>
    <w:rsid w:val="286A52D9"/>
    <w:rsid w:val="289724F8"/>
    <w:rsid w:val="29851339"/>
    <w:rsid w:val="2A510485"/>
    <w:rsid w:val="2AC2321B"/>
    <w:rsid w:val="2C995108"/>
    <w:rsid w:val="2DB63B4F"/>
    <w:rsid w:val="2E5D1AEE"/>
    <w:rsid w:val="2E7F1A64"/>
    <w:rsid w:val="2EA66C6C"/>
    <w:rsid w:val="311B7F4D"/>
    <w:rsid w:val="31F505FD"/>
    <w:rsid w:val="322D4895"/>
    <w:rsid w:val="32B37F2E"/>
    <w:rsid w:val="32FA5B5D"/>
    <w:rsid w:val="33585EE4"/>
    <w:rsid w:val="34353E60"/>
    <w:rsid w:val="34CE54F3"/>
    <w:rsid w:val="34F565DC"/>
    <w:rsid w:val="35B44D6B"/>
    <w:rsid w:val="35E52AF5"/>
    <w:rsid w:val="36E842A0"/>
    <w:rsid w:val="37557225"/>
    <w:rsid w:val="394A10E7"/>
    <w:rsid w:val="3B893FFA"/>
    <w:rsid w:val="3BEA73C6"/>
    <w:rsid w:val="3C3245BA"/>
    <w:rsid w:val="3C700C3E"/>
    <w:rsid w:val="3FF322B2"/>
    <w:rsid w:val="41076015"/>
    <w:rsid w:val="418D1865"/>
    <w:rsid w:val="41987832"/>
    <w:rsid w:val="41BA21D5"/>
    <w:rsid w:val="43A41F82"/>
    <w:rsid w:val="445A2900"/>
    <w:rsid w:val="45196317"/>
    <w:rsid w:val="463B050F"/>
    <w:rsid w:val="463E2142"/>
    <w:rsid w:val="4755115C"/>
    <w:rsid w:val="47E732D5"/>
    <w:rsid w:val="490D6193"/>
    <w:rsid w:val="497942D6"/>
    <w:rsid w:val="49800FBC"/>
    <w:rsid w:val="49EF7646"/>
    <w:rsid w:val="49F02CC8"/>
    <w:rsid w:val="4A875B2E"/>
    <w:rsid w:val="4B83098E"/>
    <w:rsid w:val="4C997D3D"/>
    <w:rsid w:val="4C9E5354"/>
    <w:rsid w:val="4E8D6872"/>
    <w:rsid w:val="4FBA4253"/>
    <w:rsid w:val="5006393C"/>
    <w:rsid w:val="52DE0F56"/>
    <w:rsid w:val="532D477B"/>
    <w:rsid w:val="54107029"/>
    <w:rsid w:val="54971006"/>
    <w:rsid w:val="54B27EE3"/>
    <w:rsid w:val="54E81862"/>
    <w:rsid w:val="55FB168B"/>
    <w:rsid w:val="56222B52"/>
    <w:rsid w:val="565656BB"/>
    <w:rsid w:val="58511B64"/>
    <w:rsid w:val="587358E6"/>
    <w:rsid w:val="58A41264"/>
    <w:rsid w:val="58AF4966"/>
    <w:rsid w:val="58FF0F86"/>
    <w:rsid w:val="5C4E2B8F"/>
    <w:rsid w:val="5C745700"/>
    <w:rsid w:val="5D3913B1"/>
    <w:rsid w:val="5D4E550A"/>
    <w:rsid w:val="5D8B5480"/>
    <w:rsid w:val="5D9D6927"/>
    <w:rsid w:val="5DB85C0C"/>
    <w:rsid w:val="5E3E7ACE"/>
    <w:rsid w:val="5E873C10"/>
    <w:rsid w:val="5EE17A4E"/>
    <w:rsid w:val="5FA40A7B"/>
    <w:rsid w:val="608207F2"/>
    <w:rsid w:val="60DD1D53"/>
    <w:rsid w:val="61F75025"/>
    <w:rsid w:val="624105F6"/>
    <w:rsid w:val="625641B1"/>
    <w:rsid w:val="635527B8"/>
    <w:rsid w:val="65AE0CE8"/>
    <w:rsid w:val="660446F9"/>
    <w:rsid w:val="662133E2"/>
    <w:rsid w:val="66823978"/>
    <w:rsid w:val="673D77EB"/>
    <w:rsid w:val="67DA7F59"/>
    <w:rsid w:val="68A90D75"/>
    <w:rsid w:val="698449E7"/>
    <w:rsid w:val="699163F6"/>
    <w:rsid w:val="699B2EEF"/>
    <w:rsid w:val="69AC4F69"/>
    <w:rsid w:val="69BF1E7E"/>
    <w:rsid w:val="6A1D3904"/>
    <w:rsid w:val="6A366774"/>
    <w:rsid w:val="6A615EE7"/>
    <w:rsid w:val="6D617FAC"/>
    <w:rsid w:val="6E341659"/>
    <w:rsid w:val="6E406952"/>
    <w:rsid w:val="6EA9319E"/>
    <w:rsid w:val="6EBC36EB"/>
    <w:rsid w:val="6FEA34E1"/>
    <w:rsid w:val="70C81183"/>
    <w:rsid w:val="71461490"/>
    <w:rsid w:val="71AD7474"/>
    <w:rsid w:val="726969CC"/>
    <w:rsid w:val="72BC63B0"/>
    <w:rsid w:val="72E15E16"/>
    <w:rsid w:val="73B515B8"/>
    <w:rsid w:val="74C6415A"/>
    <w:rsid w:val="75061B64"/>
    <w:rsid w:val="77D92C15"/>
    <w:rsid w:val="790B2EA9"/>
    <w:rsid w:val="7A9921B7"/>
    <w:rsid w:val="7AB23BF5"/>
    <w:rsid w:val="7BBD6CF5"/>
    <w:rsid w:val="7C43369E"/>
    <w:rsid w:val="7F7A0704"/>
    <w:rsid w:val="7F7C07EF"/>
    <w:rsid w:val="7FB81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pPr>
  </w:style>
  <w:style w:type="paragraph" w:styleId="4">
    <w:name w:val="Body Text Indent"/>
    <w:basedOn w:val="1"/>
    <w:qFormat/>
    <w:uiPriority w:val="0"/>
    <w:pPr>
      <w:spacing w:line="520" w:lineRule="exact"/>
      <w:ind w:left="570"/>
    </w:pPr>
    <w:rPr>
      <w:rFonts w:ascii="Wingdings 2" w:hAnsi="Book Antiqua" w:eastAsia="Wingdings 2"/>
      <w:sz w:val="24"/>
      <w:szCs w:val="20"/>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tcBorders>
        <w:top w:val="single" w:color="000000" w:sz="4" w:space="0"/>
        <w:left w:val="single" w:color="000000" w:sz="4" w:space="0"/>
        <w:bottom w:val="single" w:color="000000" w:sz="4" w:space="0"/>
        <w:right w:val="single" w:color="000000" w:sz="4" w:space="0"/>
      </w:tcBorders>
    </w:tcPr>
  </w:style>
  <w:style w:type="paragraph" w:customStyle="1" w:styleId="9">
    <w:name w:val="段"/>
    <w:basedOn w:val="10"/>
    <w:next w:val="1"/>
    <w:qFormat/>
    <w:uiPriority w:val="0"/>
    <w:pPr>
      <w:autoSpaceDE w:val="0"/>
      <w:autoSpaceDN w:val="0"/>
      <w:ind w:firstLine="200"/>
      <w:jc w:val="both"/>
    </w:pPr>
    <w:rPr>
      <w:rFonts w:ascii="宋体" w:hAnsi="Times New Roman" w:eastAsia="宋体" w:cs="Times New Roman"/>
      <w:sz w:val="21"/>
      <w:lang w:val="en-US" w:eastAsia="zh-CN" w:bidi="ar-SA"/>
    </w:rPr>
  </w:style>
  <w:style w:type="paragraph" w:customStyle="1" w:styleId="10">
    <w:name w:val="正文_6"/>
    <w:qFormat/>
    <w:uiPriority w:val="0"/>
    <w:pPr>
      <w:widowControl w:val="0"/>
      <w:jc w:val="both"/>
    </w:pPr>
    <w:rPr>
      <w:rFonts w:ascii="Calibri" w:hAnsi="Calibri" w:eastAsia="宋体" w:cs="Times New Roman"/>
      <w:sz w:val="21"/>
      <w:szCs w:val="22"/>
      <w:lang w:val="en-US" w:eastAsia="zh-CN" w:bidi="ar-SA"/>
    </w:rPr>
  </w:style>
  <w:style w:type="paragraph" w:customStyle="1" w:styleId="11">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5393294f-b301-43a2-accf-5a1a5979e132</errorID>
      <errorWord>，</errorWord>
      <group>L1_Word</group>
      <groupName>字词问题</groupName>
      <ability>L2_Typo</ability>
      <abilityName>字词错误</abilityName>
      <candidateList>
        <item>，由</item>
      </candidateList>
      <explain/>
      <paraID>4920F37A</paraID>
      <start>53</start>
      <end>54</end>
      <status>ignored</status>
      <modifiedWord/>
      <trackRevisions>false</trackRevisions>
    </reviewItem>
    <reviewItem>
      <errorID>8d673fc5-16af-4348-859c-7a0823922ccd</errorID>
      <errorWord>孳生</errorWord>
      <group>L1_Word</group>
      <groupName>字词问题</groupName>
      <ability>L2_Alias</ability>
      <abilityName>也作/曾用词</abilityName>
      <candidateList>
        <item>滋生</item>
      </candidateList>
      <explain>词汇[孳生]为不规范表述或旧称，其规范书面表述为[滋生]。</explain>
      <paraID> 2C6A6BA</paraID>
      <start>89</start>
      <end>91</end>
      <status>ignored</status>
      <modifiedWord/>
      <trackRevisions>false</trackRevisions>
    </reviewItem>
    <reviewItem>
      <errorID>bdca896c-aa5d-4e19-bbf0-4f1b89ce1597</errorID>
      <errorWord>-</errorWord>
      <group>L1_Format</group>
      <groupName>格式问题</groupName>
      <ability>L2_HalfPunc_CN</ability>
      <abilityName>全半角问题</abilityName>
      <candidateList>
        <item>－</item>
      </candidateList>
      <explain>文本全半角错误。</explain>
      <paraID>4FB70BEB</paraID>
      <start>44</start>
      <end>45</end>
      <status>modified</status>
      <modifiedWord>－</modifiedWord>
      <trackRevisions>false</trackRevisions>
    </reviewItem>
    <reviewItem>
      <errorID>0ef6c76d-e679-4410-aa73-82919dcee7f1</errorID>
      <errorWord>(</errorWord>
      <group>L1_Format</group>
      <groupName>格式问题</groupName>
      <ability>L2_HalfPunc_CN</ability>
      <abilityName>全半角问题</abilityName>
      <candidateList>
        <item>（</item>
      </candidateList>
      <explain>文本全半角错误。</explain>
      <paraID> E27F3DC</paraID>
      <start>118</start>
      <end>119</end>
      <status>modified</status>
      <modifiedWord>（</modifiedWord>
      <trackRevisions>false</trackRevisions>
    </reviewItem>
    <reviewItem>
      <errorID>377e7563-380a-4e0c-9fdc-94e5d9a10b80</errorID>
      <errorWord>)</errorWord>
      <group>L1_Format</group>
      <groupName>格式问题</groupName>
      <ability>L2_HalfPunc_CN</ability>
      <abilityName>全半角问题</abilityName>
      <candidateList>
        <item>）</item>
      </candidateList>
      <explain>文本全半角错误。</explain>
      <paraID> E27F3DC</paraID>
      <start>128</start>
      <end>129</end>
      <status>modified</status>
      <modifiedWord>）</modifiedWord>
      <trackRevisions>false</trackRevisions>
    </reviewItem>
    <reviewItem>
      <errorID>41d33614-040d-45ae-a654-d4e04825d9e8</errorID>
      <errorWord>日至2026年</errorWord>
      <group>L1_Word</group>
      <groupName>字词问题</groupName>
      <ability>L2_Typo</ability>
      <abilityName>字词错误</abilityName>
      <candidateList>
        <item>日起至2026年</item>
      </candidateList>
      <explain/>
      <paraID> B9203B9</paraID>
      <start>16</start>
      <end>23</end>
      <status>ignored</status>
      <modifiedWord/>
      <trackRevisions>false</trackRevisions>
    </reviewItem>
    <reviewItem>
      <errorID>b82cb2f6-1cd8-4ab5-ad10-1e21f4898119</errorID>
      <errorWord>上面</errorWord>
      <group>L1_Word</group>
      <groupName>字词问题</groupName>
      <ability>L2_Typo</ability>
      <abilityName>字词错误</abilityName>
      <candidateList>
        <item>上</item>
      </candidateList>
      <explain/>
      <paraID>638520B4</paraID>
      <start>15</start>
      <end>17</end>
      <status>ignored</status>
      <modifiedWord/>
      <trackRevisions>false</trackRevisions>
    </reviewItem>
    <reviewItem>
      <errorID>9dad9cb4-1020-424b-86b7-af92b02e1309</errorID>
      <errorWord>(</errorWord>
      <group>L1_Format</group>
      <groupName>格式问题</groupName>
      <ability>L2_HalfPunc_CN</ability>
      <abilityName>全半角问题</abilityName>
      <candidateList>
        <item>（</item>
      </candidateList>
      <explain>文本全半角错误。</explain>
      <paraID>4F72DBAB</paraID>
      <start>109</start>
      <end>110</end>
      <status>modified</status>
      <modifiedWord>（</modifiedWord>
      <trackRevisions>false</trackRevisions>
    </reviewItem>
    <reviewItem>
      <errorID>e599c454-7055-4d5b-803a-0f07f4c56db2</errorID>
      <errorWord>)</errorWord>
      <group>L1_Format</group>
      <groupName>格式问题</groupName>
      <ability>L2_HalfPunc_CN</ability>
      <abilityName>全半角问题</abilityName>
      <candidateList>
        <item>）</item>
      </candidateList>
      <explain>文本全半角错误。</explain>
      <paraID>4F72DBAB</paraID>
      <start>119</start>
      <end>120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8e29e5cc-c56a-4b75-bb65-1a5032e1c8f4}">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8933</Words>
  <Characters>9421</Characters>
  <Lines>1</Lines>
  <Paragraphs>1</Paragraphs>
  <TotalTime>60</TotalTime>
  <ScaleCrop>false</ScaleCrop>
  <LinksUpToDate>false</LinksUpToDate>
  <CharactersWithSpaces>9577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cy</dc:creator>
  <cp:lastModifiedBy>诚源</cp:lastModifiedBy>
  <dcterms:modified xsi:type="dcterms:W3CDTF">2026-07-14T08:31:08Z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eyJoZGlkIjoiMzZlMzNiZDAxMmVmMTU2Y2UzY2Y0YjBmM2IyMjdlMTAiLCJ1c2VySWQiOiI2MTI4MDk1NjQifQ==</vt:lpwstr>
  </property>
  <property fmtid="{D5CDD505-2E9C-101B-9397-08002B2CF9AE}" pid="4" name="ICV">
    <vt:lpwstr>30253DE4A1394C569B793BDE9B23A39E_13</vt:lpwstr>
  </property>
</Properties>
</file>