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A6A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苏州市姑苏区教育体育和文化旅游委员会关于2026-2027学年苏州市姑苏区中小学校校外供餐入围服务单位项目的公开采购公告</w:t>
      </w:r>
    </w:p>
    <w:p w14:paraId="65F82725">
      <w:pPr>
        <w:rPr>
          <w:rFonts w:hint="eastAsia"/>
        </w:rPr>
      </w:pPr>
    </w:p>
    <w:p w14:paraId="587C66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项目概况</w:t>
      </w:r>
    </w:p>
    <w:p w14:paraId="219760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2026-2027学年苏州市姑苏区中小学校校外供餐入围服务单位项目的潜在供应商应在苏州市平泷路251号苏州城市生活广场B座1557室获取采购文件，并于2026年8月5日13点30分（北京时间）前提交投标文件。</w:t>
      </w:r>
    </w:p>
    <w:p w14:paraId="1B39E4B7">
      <w:pPr>
        <w:ind w:firstLine="640" w:firstLineChars="200"/>
        <w:rPr>
          <w:rFonts w:hint="eastAsia" w:ascii="黑体" w:hAnsi="黑体" w:eastAsia="黑体" w:cs="黑体"/>
          <w:sz w:val="32"/>
          <w:szCs w:val="32"/>
        </w:rPr>
      </w:pPr>
      <w:r>
        <w:rPr>
          <w:rFonts w:hint="eastAsia" w:ascii="黑体" w:hAnsi="黑体" w:eastAsia="黑体" w:cs="黑体"/>
          <w:sz w:val="32"/>
          <w:szCs w:val="32"/>
        </w:rPr>
        <w:t>一、项目基本情况</w:t>
      </w:r>
    </w:p>
    <w:p w14:paraId="61317CF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1.项目编号：SZZJ2026-Q-G-027</w:t>
      </w:r>
      <w:r>
        <w:rPr>
          <w:rFonts w:hint="eastAsia" w:ascii="仿宋_GB2312" w:hAnsi="仿宋_GB2312" w:eastAsia="仿宋_GB2312" w:cs="仿宋_GB2312"/>
          <w:sz w:val="32"/>
          <w:szCs w:val="32"/>
        </w:rPr>
        <w:tab/>
      </w:r>
    </w:p>
    <w:p w14:paraId="033A6FD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2.项目名称：2026-2027学年苏州市姑苏区中小学校校外供餐入围服务单位项目</w:t>
      </w:r>
    </w:p>
    <w:p w14:paraId="230D73B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3.预算金额：约5500万元，按实结算</w:t>
      </w:r>
    </w:p>
    <w:p w14:paraId="4D16098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4.简要技术需求或服务要求等</w:t>
      </w:r>
    </w:p>
    <w:p w14:paraId="45E54CD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4.1服务范围：苏州市姑苏区约30所学校，约2.56万师生集体用餐。                  </w:t>
      </w:r>
    </w:p>
    <w:p w14:paraId="4F9DE9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4.2资金来源：学校代收伙食费</w:t>
      </w:r>
    </w:p>
    <w:p w14:paraId="76217FD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招标目的：根据教育部、国家市场监督管理总局、国家卫生健康委员会联合发布的第45号令《学校食品安全与营养健康管理规定》《中小学校园食品安全和膳食经费管理工作指引》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教体艺函〔2024〕39</w:t>
      </w:r>
      <w:r>
        <w:rPr>
          <w:rFonts w:hint="eastAsia"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rPr>
        <w:t xml:space="preserve">和江苏省教育厅1+4文件（《省教育厅等七部门关于加强中小学食堂与校外供餐管理的通知》《江苏省中小学阳光食堂信息化监管服务台业务指引》（修订版）《江苏省中小学校膳食营养与食品安全指南》《江苏省中小学校食堂财务管理指引》《江苏省中小学校食堂会计核算指引》和《苏州市中小学阳光食堂信息化监管服务平台食堂招标采购监管指引》）要求，确保中小学校食堂食品安全，规范食品及校外供餐行为，维护师生权益，扎实有效推进“校园餐”信息化监管服务工作。  </w:t>
      </w:r>
    </w:p>
    <w:p w14:paraId="0603EE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4.3招标方式：公开招标。</w:t>
      </w:r>
    </w:p>
    <w:p w14:paraId="4D9B97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4.4合同履行期限：2026年9月1日至2027年8月31日止。</w:t>
      </w:r>
    </w:p>
    <w:p w14:paraId="4698267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关于中标人数量：拟入围中标人数量按N-2确定，中标人数量最少8家，最多10家。如在选取最后一个名额时，报价相同的投标人有两个以上的，则由招标人在姑苏区纪委监委第一派驻纪检监察组监督下以抽签方式确定中标人。若实质性响应招标文件的投标人＜10家，则该项目流标。</w:t>
      </w:r>
    </w:p>
    <w:p w14:paraId="55EB58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本项目不接受联合体投标，且不允许转包或分包。</w:t>
      </w:r>
    </w:p>
    <w:p w14:paraId="2E207DE9">
      <w:pPr>
        <w:ind w:firstLine="640" w:firstLineChars="200"/>
        <w:rPr>
          <w:rFonts w:hint="eastAsia" w:ascii="黑体" w:hAnsi="黑体" w:eastAsia="黑体" w:cs="黑体"/>
          <w:sz w:val="32"/>
          <w:szCs w:val="32"/>
        </w:rPr>
      </w:pPr>
      <w:r>
        <w:rPr>
          <w:rFonts w:hint="eastAsia" w:ascii="黑体" w:hAnsi="黑体" w:eastAsia="黑体" w:cs="黑体"/>
          <w:sz w:val="32"/>
          <w:szCs w:val="32"/>
        </w:rPr>
        <w:t>二、投标单位的资格要求</w:t>
      </w:r>
    </w:p>
    <w:p w14:paraId="4917719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实行资格审查现场考察。符合报名资格的供应商，由招标代理机构组织现场核查，完成资格预审现场核查工作后，资格预审工作组全体成员和供应商在资格预审现场签字确认。供应商如对结果有疑问可现场提出并协商解决。供应商拒绝在《资格审查现场考察表》签字确认的，视为放弃投标。</w:t>
      </w:r>
    </w:p>
    <w:p w14:paraId="59BCD31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供应商需在报名截止时间前将以下报名资料提交至招标代理机构：</w:t>
      </w:r>
    </w:p>
    <w:p w14:paraId="5C0B16F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（一）本项目的一般资格条件</w:t>
      </w:r>
    </w:p>
    <w:p w14:paraId="24D7B86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1.具有独立承担民事责任的能力：提供有效的营业执照；</w:t>
      </w:r>
    </w:p>
    <w:p w14:paraId="65E8B36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2.具有良好的商业信誉和健全的财务会计制度：提供2025年度审计报告或本年度供应商开户银行提供的银行资信证明；</w:t>
      </w:r>
    </w:p>
    <w:p w14:paraId="37DBA8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3.具有履行合同所必需的设备和专业技术能力：</w:t>
      </w:r>
    </w:p>
    <w:p w14:paraId="3CD1EB5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配送中心配送距离应≤20公里（须提供百度或高德地图配送中心到苏州市杨枝小学校或苏州市三元第三小学校或苏州市湄长小学或苏州市崇道小学校这四所学校中的任意一所学校的实际距离截图）；</w:t>
      </w:r>
    </w:p>
    <w:p w14:paraId="208196D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3.2经营场所25米内无粉尘、垃圾、虫害等污染源；（提供承诺函）</w:t>
      </w:r>
    </w:p>
    <w:p w14:paraId="7280E1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3.3配送中心食品处理区面积须满1000㎡且锅灶（大锅灶/炉灶）数量须达到10个以上（含10个）：（提供平面图）</w:t>
      </w:r>
    </w:p>
    <w:p w14:paraId="6ED475E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投标人服务于本项目的固定工作人员：提供服务于本项目的固定人员统计表（包括但不限于姓名、身份证号等）及承诺函，并现场核查以上相关资料，核查相关人员近三个月及以上社保证明（成立不满一年的供应商可提供任意一个月的社保证明、有效健康证明及公安部门出具有效期内的无犯罪记录证明）；</w:t>
      </w:r>
    </w:p>
    <w:p w14:paraId="1A1BFE0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投标人服务于本项目的自有配送车辆：提供服务于本项目的配送车辆统计表（含所有人名称、车牌号）车辆机动车登记证书、车辆行驶证及有效交强险保险单，保险单中须注明厂牌型号，承诺车辆服务于本项目；</w:t>
      </w:r>
    </w:p>
    <w:p w14:paraId="7AD1D1C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3.6送餐过程具备全程热保温的设施（保温效果须达到60℃以上）和能力：提供设备清单及用途说明；</w:t>
      </w:r>
    </w:p>
    <w:p w14:paraId="02FB605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4.具有依法缴纳税收和社会保障资金的良好记录：（提供参加本次采购活动前一年内至少三个月的依法缴纳税收（如申报表/税票/缴款书）和社会保障资金的有效证明材料）；</w:t>
      </w:r>
    </w:p>
    <w:p w14:paraId="3B030A1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加采购活动近三年内，未发生过食品安全事故，在食品生产经营活动中，未受到刑事处罚或者责令停产停业、罚款金额大于2万元的行政处罚，且未引起较大负面舆情；法定代表人及从事食品生产经营管理工作、担任食品安全管理的人员未受食品安全法处罚：（提供承诺函）</w:t>
      </w:r>
    </w:p>
    <w:p w14:paraId="332140A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6.法律、行政法规规定的其他条件：提供承诺函。</w:t>
      </w:r>
    </w:p>
    <w:p w14:paraId="74684E0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（二）本项目的特定资格要求</w:t>
      </w:r>
    </w:p>
    <w:p w14:paraId="4AB0206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1.具有行业主管部门颁发的有效的《食品经营许可证》且主体业态包括餐饮服务经营者和集体用餐配送。</w:t>
      </w:r>
    </w:p>
    <w:p w14:paraId="2C06618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2.未被“信用中国”网站（www.creditchina.gov.cn）列入失信执行人、重大税收违法案件当事人名单、严重违法失信行为记录名单：提供信用中国网站的信用报告。</w:t>
      </w:r>
    </w:p>
    <w:p w14:paraId="53F2EAF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w:t>
      </w:r>
    </w:p>
    <w:p w14:paraId="415BAF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1.单位法定代表人为同一人或存在控股、管理关系的不同单位，不得同时参加本项目投标。</w:t>
      </w:r>
    </w:p>
    <w:p w14:paraId="35602D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2.若投标人以上的承诺不属实，一经查实将取消投标资格或入选候选资格，由此产生的损失由投标人自行承担。</w:t>
      </w:r>
    </w:p>
    <w:p w14:paraId="4C71EA4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3.法人的分支机构不得参加投标。</w:t>
      </w:r>
    </w:p>
    <w:p w14:paraId="00BB747A">
      <w:pPr>
        <w:ind w:firstLine="640" w:firstLineChars="200"/>
        <w:rPr>
          <w:rFonts w:hint="eastAsia" w:ascii="黑体" w:hAnsi="黑体" w:eastAsia="黑体" w:cs="黑体"/>
          <w:sz w:val="32"/>
          <w:szCs w:val="32"/>
        </w:rPr>
      </w:pPr>
      <w:r>
        <w:rPr>
          <w:rFonts w:hint="eastAsia" w:ascii="黑体" w:hAnsi="黑体" w:eastAsia="黑体" w:cs="黑体"/>
          <w:sz w:val="32"/>
          <w:szCs w:val="32"/>
        </w:rPr>
        <w:t>三、获取招标文件</w:t>
      </w:r>
    </w:p>
    <w:p w14:paraId="4F499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时间：2026年7月15日至2026年7月22日，每天上午9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00--下午17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00（北京时间，双休、法定节假日除外）。</w:t>
      </w:r>
    </w:p>
    <w:p w14:paraId="6A6A75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地点：苏州市平泷路251号苏州城市生活广场B座1557室。</w:t>
      </w:r>
    </w:p>
    <w:p w14:paraId="24F8EB2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方式：现场报名。</w:t>
      </w:r>
    </w:p>
    <w:p w14:paraId="68B5BF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投标人在报名时须向招标代理机构提供以下资料复印件（均须加盖所属法人鲜章，缺失、不符、失效、不提供或涂改内容、无法辨识的，均将不予接受）：</w:t>
      </w:r>
    </w:p>
    <w:p w14:paraId="3B37ABF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1.单位相关信息〔包括：拟报名的项目编号和项目名称、联系人和联系方式（包括：手机、固定电话、传真、邮编和电子邮箱地址）〕。</w:t>
      </w:r>
    </w:p>
    <w:p w14:paraId="40E139E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2.办理报名人员：如是法定代表人，必须提供本人身份证；如为非法定代表人，须提供法定代表人授权委托书、法定代表人身份证和受托人身份证。</w:t>
      </w:r>
    </w:p>
    <w:p w14:paraId="6E11F2C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3.投标人资格预审材料：投标单位《资格审查现场考察表》及相关证明资料（详见附件</w:t>
      </w:r>
      <w:bookmarkStart w:id="0" w:name="_GoBack"/>
      <w:bookmarkEnd w:id="0"/>
      <w:r>
        <w:rPr>
          <w:rFonts w:hint="eastAsia" w:ascii="仿宋_GB2312" w:hAnsi="仿宋_GB2312" w:eastAsia="仿宋_GB2312" w:cs="仿宋_GB2312"/>
          <w:sz w:val="32"/>
          <w:szCs w:val="32"/>
        </w:rPr>
        <w:t>）。</w:t>
      </w:r>
    </w:p>
    <w:p w14:paraId="30C8C33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注：以上报名资料纸质：装订成册，一式叁份；电子材料：一份（以U盘方式提交），电子文件须与纸本文件一致，为加盖电子章的PDF扫描件或为加盖鲜章的PDF扫描件，以U盘方式提交。</w:t>
      </w:r>
    </w:p>
    <w:p w14:paraId="4AF9EB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的联系地址以营业执照所示为准。如提供虚假报名资料，一经查实，由此造成的一切后果由供应商承担。供应商的报名资料未按上述要求提供或资料提供不完整或证明材料不符合资格要求的，则视为报名不成功。如有伪造或虚报，视为报名不成功，且投标人将承担全部责任。</w:t>
      </w:r>
    </w:p>
    <w:p w14:paraId="7B68EF0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售价：现金1500.00元/份（售后不退）。</w:t>
      </w:r>
    </w:p>
    <w:p w14:paraId="53556DE3">
      <w:pPr>
        <w:ind w:firstLine="640" w:firstLineChars="200"/>
        <w:rPr>
          <w:rFonts w:hint="eastAsia" w:ascii="黑体" w:hAnsi="黑体" w:eastAsia="黑体" w:cs="黑体"/>
          <w:sz w:val="32"/>
          <w:szCs w:val="32"/>
        </w:rPr>
      </w:pPr>
      <w:r>
        <w:rPr>
          <w:rFonts w:hint="eastAsia" w:ascii="黑体" w:hAnsi="黑体" w:eastAsia="黑体" w:cs="黑体"/>
          <w:sz w:val="32"/>
          <w:szCs w:val="32"/>
        </w:rPr>
        <w:t>四、提交投标文件截止时间、开标时间和地点</w:t>
      </w:r>
    </w:p>
    <w:p w14:paraId="261CC3F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1.提交投标文件。</w:t>
      </w:r>
    </w:p>
    <w:p w14:paraId="0C66CE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时间：2026年8月5日12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30时起至13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30时止（北京时间）。</w:t>
      </w:r>
    </w:p>
    <w:p w14:paraId="34A235B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地点：苏州市善耕实验小学校（正谊校区）苏州市姑苏区金光路与平润路交叉口东北160米。</w:t>
      </w:r>
    </w:p>
    <w:p w14:paraId="448F1A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2.开标。</w:t>
      </w:r>
    </w:p>
    <w:p w14:paraId="7C9311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时间：2026年8月5日13：30时（北京时间）。逾时视作自动放弃。</w:t>
      </w:r>
    </w:p>
    <w:p w14:paraId="1EF47C6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地点：苏州市善耕实验小学校（正谊校区）苏州市姑苏区金光路与平润路交叉口东北160米。</w:t>
      </w:r>
    </w:p>
    <w:p w14:paraId="79D87C60">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五、投标文件编制份数</w:t>
      </w:r>
    </w:p>
    <w:p w14:paraId="646AC1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1.纸本投标文件：肆份（正本壹份，副本叁份）</w:t>
      </w:r>
    </w:p>
    <w:p w14:paraId="67F665D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2.电子投标文件：壹份（以U盘形式递交）</w:t>
      </w:r>
    </w:p>
    <w:p w14:paraId="79E23D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电子档投标文件应包含正本扫描件，且确保与纸质投标正本文件一致，U盘随投标文件一并递交（单独密封在信封内，U盘及信封需标明投标单位名称），投标单位应确保电子文档可以正常打开，否则一切责任由投标单位承担。</w:t>
      </w:r>
    </w:p>
    <w:p w14:paraId="5C1BF240">
      <w:pPr>
        <w:ind w:firstLine="640" w:firstLineChars="200"/>
        <w:rPr>
          <w:rFonts w:hint="eastAsia" w:ascii="黑体" w:hAnsi="黑体" w:eastAsia="黑体" w:cs="黑体"/>
          <w:sz w:val="32"/>
          <w:szCs w:val="32"/>
        </w:rPr>
      </w:pPr>
      <w:r>
        <w:rPr>
          <w:rFonts w:hint="eastAsia" w:ascii="黑体" w:hAnsi="黑体" w:eastAsia="黑体" w:cs="黑体"/>
          <w:sz w:val="32"/>
          <w:szCs w:val="32"/>
        </w:rPr>
        <w:t>六、公告期限</w:t>
      </w:r>
    </w:p>
    <w:p w14:paraId="2401282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自本公告发布之日起5个工作日。</w:t>
      </w:r>
    </w:p>
    <w:p w14:paraId="1B8C70C2">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七、其他补充事宜</w:t>
      </w:r>
    </w:p>
    <w:p w14:paraId="2DE928F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公告在苏州市阳光食堂招标公示平台、苏州市姑苏区人民政府官网、中国招标投标公共服务平台发布。未依照本公告要求实行报名的潜在投标人，视为未参与本次采购活动，不具有对本次采购项目提出质疑的权利，但因投标人资格要求或报名时间设定不符合有关法律法规规定等原因使潜在投标人权益受损的除外。</w:t>
      </w:r>
    </w:p>
    <w:p w14:paraId="603D73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2.本项目通过现场考察的方式进行资格预审，获取招标文件时间结束至开标前，采购人组织考察团队到报名成功供应商的生产或经营场所进行实地考察，考察时间另行通知。</w:t>
      </w:r>
    </w:p>
    <w:p w14:paraId="72E8282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3.本项目如有异议由采购人负责处理答复，投标人对答复不满意的，可申请在专家库中随机抽取 3 名专家进行裁决。裁决只进行一次，采购人和投标人必须服从专家组的裁决意见。潜在投标人报名参与本项目则视为同意上述内容。</w:t>
      </w:r>
    </w:p>
    <w:p w14:paraId="5C35056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4.本招标文件适用于2026-2027学年苏州市姑苏区中小学校校外供餐入围服务单位项目公开招标采购。由苏州市姑苏区中小学食堂（校外供餐）招标工作组进行监督指导。</w:t>
      </w:r>
    </w:p>
    <w:p w14:paraId="05293285">
      <w:pPr>
        <w:ind w:firstLine="640" w:firstLineChars="200"/>
        <w:rPr>
          <w:rFonts w:hint="eastAsia" w:ascii="黑体" w:hAnsi="黑体" w:eastAsia="黑体" w:cs="黑体"/>
          <w:sz w:val="32"/>
          <w:szCs w:val="32"/>
        </w:rPr>
      </w:pPr>
      <w:r>
        <w:rPr>
          <w:rFonts w:hint="eastAsia" w:ascii="黑体" w:hAnsi="黑体" w:eastAsia="黑体" w:cs="黑体"/>
          <w:sz w:val="32"/>
          <w:szCs w:val="32"/>
        </w:rPr>
        <w:t>八、本次招标联系事项</w:t>
      </w:r>
    </w:p>
    <w:p w14:paraId="7BE04D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1.招标人信息</w:t>
      </w:r>
    </w:p>
    <w:p w14:paraId="274E0A2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    称：苏州市姑苏区教育体育和文化旅游委员会</w:t>
      </w:r>
    </w:p>
    <w:p w14:paraId="5A5D0B1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联系地址：苏州市姑苏区平川路510号</w:t>
      </w:r>
    </w:p>
    <w:p w14:paraId="67DFFB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 系 人：徐老师、姚老师。</w:t>
      </w:r>
    </w:p>
    <w:p w14:paraId="59B5EA0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联系电话：0512-68728216 0512-68728114</w:t>
      </w:r>
    </w:p>
    <w:p w14:paraId="44CC50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2.招标代理机构信息</w:t>
      </w:r>
    </w:p>
    <w:p w14:paraId="154DC1B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     称：苏州正杰招投标咨询服务有限公司</w:t>
      </w:r>
    </w:p>
    <w:p w14:paraId="629B64B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联系地址：苏州市平泷路251号苏州城市生活广场B座1557室</w:t>
      </w:r>
    </w:p>
    <w:p w14:paraId="65A0B53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 系 人：沈鹰、陈晓梦、徐杰、刘木兰、周昀烨</w:t>
      </w:r>
    </w:p>
    <w:p w14:paraId="46177F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联系电话：0512-62826523</w:t>
      </w:r>
    </w:p>
    <w:p w14:paraId="5469BA0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采购监管部门：姑苏区纪委监委第一派驻纪检监察组</w:t>
      </w:r>
    </w:p>
    <w:p w14:paraId="0B3DA62B">
      <w:pPr>
        <w:rPr>
          <w:rFonts w:hint="eastAsia" w:ascii="仿宋_GB2312" w:hAnsi="仿宋_GB2312" w:eastAsia="仿宋_GB2312" w:cs="仿宋_GB2312"/>
          <w:sz w:val="32"/>
          <w:szCs w:val="32"/>
        </w:rPr>
      </w:pPr>
    </w:p>
    <w:p w14:paraId="7C6317FC">
      <w:pPr>
        <w:ind w:firstLine="320" w:firstLineChars="100"/>
        <w:rPr>
          <w:rFonts w:hint="eastAsia" w:ascii="仿宋_GB2312" w:hAnsi="仿宋_GB2312" w:eastAsia="仿宋_GB2312" w:cs="仿宋_GB2312"/>
          <w:sz w:val="32"/>
          <w:szCs w:val="32"/>
        </w:rPr>
      </w:pPr>
    </w:p>
    <w:p w14:paraId="665B8651">
      <w:pPr>
        <w:ind w:firstLine="3840" w:firstLine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苏州正杰招投标咨询服务有限公司</w:t>
      </w:r>
    </w:p>
    <w:p w14:paraId="2D54BD0D">
      <w:pPr>
        <w:ind w:firstLine="5120" w:firstLineChars="1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2026年7月15日</w:t>
      </w:r>
    </w:p>
    <w:p w14:paraId="063C56C4">
      <w:pPr>
        <w:ind w:firstLine="5120" w:firstLineChars="1600"/>
        <w:rPr>
          <w:rFonts w:hint="eastAsia" w:ascii="仿宋_GB2312" w:hAnsi="仿宋_GB2312" w:eastAsia="仿宋_GB2312" w:cs="仿宋_GB2312"/>
          <w:sz w:val="32"/>
          <w:szCs w:val="32"/>
        </w:rPr>
      </w:pPr>
    </w:p>
    <w:p w14:paraId="2238BDF9">
      <w:pPr>
        <w:ind w:firstLine="5120" w:firstLineChars="1600"/>
        <w:rPr>
          <w:rFonts w:hint="eastAsia" w:ascii="仿宋_GB2312" w:hAnsi="仿宋_GB2312" w:eastAsia="仿宋_GB2312" w:cs="仿宋_GB2312"/>
          <w:sz w:val="32"/>
          <w:szCs w:val="32"/>
        </w:rPr>
      </w:pPr>
    </w:p>
    <w:p w14:paraId="3C49DD7B">
      <w:pPr>
        <w:ind w:firstLine="5120" w:firstLineChars="1600"/>
        <w:rPr>
          <w:rFonts w:hint="eastAsia" w:ascii="仿宋_GB2312" w:hAnsi="仿宋_GB2312" w:eastAsia="仿宋_GB2312" w:cs="仿宋_GB2312"/>
          <w:sz w:val="32"/>
          <w:szCs w:val="32"/>
        </w:rPr>
      </w:pPr>
    </w:p>
    <w:p w14:paraId="02E8A690">
      <w:pPr>
        <w:ind w:firstLine="5120" w:firstLineChars="1600"/>
        <w:rPr>
          <w:rFonts w:hint="eastAsia" w:ascii="仿宋_GB2312" w:hAnsi="仿宋_GB2312" w:eastAsia="仿宋_GB2312" w:cs="仿宋_GB2312"/>
          <w:sz w:val="32"/>
          <w:szCs w:val="32"/>
        </w:rPr>
      </w:pPr>
    </w:p>
    <w:p w14:paraId="43D61360">
      <w:pPr>
        <w:ind w:firstLine="5120" w:firstLineChars="1600"/>
        <w:rPr>
          <w:rFonts w:hint="eastAsia" w:ascii="仿宋_GB2312" w:hAnsi="仿宋_GB2312" w:eastAsia="仿宋_GB2312" w:cs="仿宋_GB2312"/>
          <w:sz w:val="32"/>
          <w:szCs w:val="32"/>
        </w:rPr>
      </w:pPr>
    </w:p>
    <w:p w14:paraId="424BDF07">
      <w:pPr>
        <w:ind w:firstLine="5120" w:firstLineChars="1600"/>
        <w:rPr>
          <w:rFonts w:hint="eastAsia" w:ascii="仿宋_GB2312" w:hAnsi="仿宋_GB2312" w:eastAsia="仿宋_GB2312" w:cs="仿宋_GB2312"/>
          <w:sz w:val="32"/>
          <w:szCs w:val="32"/>
        </w:rPr>
      </w:pPr>
    </w:p>
    <w:p w14:paraId="2189447C">
      <w:pPr>
        <w:ind w:firstLine="5120" w:firstLineChars="1600"/>
        <w:rPr>
          <w:rFonts w:hint="eastAsia" w:ascii="仿宋_GB2312" w:hAnsi="仿宋_GB2312" w:eastAsia="仿宋_GB2312" w:cs="仿宋_GB2312"/>
          <w:sz w:val="32"/>
          <w:szCs w:val="32"/>
        </w:rPr>
      </w:pPr>
    </w:p>
    <w:p w14:paraId="46E44854">
      <w:pPr>
        <w:ind w:firstLine="5120" w:firstLineChars="1600"/>
        <w:rPr>
          <w:rFonts w:hint="eastAsia" w:ascii="仿宋_GB2312" w:hAnsi="仿宋_GB2312" w:eastAsia="仿宋_GB2312" w:cs="仿宋_GB2312"/>
          <w:sz w:val="32"/>
          <w:szCs w:val="32"/>
        </w:rPr>
      </w:pPr>
    </w:p>
    <w:p w14:paraId="1EDEA167">
      <w:pPr>
        <w:ind w:firstLine="5120" w:firstLineChars="1600"/>
        <w:rPr>
          <w:rFonts w:hint="eastAsia" w:ascii="仿宋_GB2312" w:hAnsi="仿宋_GB2312" w:eastAsia="仿宋_GB2312" w:cs="仿宋_GB2312"/>
          <w:sz w:val="32"/>
          <w:szCs w:val="32"/>
        </w:rPr>
      </w:pPr>
    </w:p>
    <w:p w14:paraId="3D31C05A">
      <w:pPr>
        <w:ind w:firstLine="5120" w:firstLineChars="1600"/>
        <w:rPr>
          <w:rFonts w:hint="eastAsia" w:ascii="仿宋_GB2312" w:hAnsi="仿宋_GB2312" w:eastAsia="仿宋_GB2312" w:cs="仿宋_GB2312"/>
          <w:sz w:val="32"/>
          <w:szCs w:val="32"/>
        </w:rPr>
      </w:pPr>
    </w:p>
    <w:p w14:paraId="7C102675">
      <w:pPr>
        <w:ind w:firstLine="5120" w:firstLineChars="1600"/>
        <w:rPr>
          <w:rFonts w:hint="eastAsia" w:ascii="仿宋_GB2312" w:hAnsi="仿宋_GB2312" w:eastAsia="仿宋_GB2312" w:cs="仿宋_GB2312"/>
          <w:sz w:val="32"/>
          <w:szCs w:val="32"/>
        </w:rPr>
      </w:pPr>
    </w:p>
    <w:p w14:paraId="6660B888">
      <w:pPr>
        <w:widowControl/>
        <w:spacing w:line="360" w:lineRule="auto"/>
        <w:ind w:firstLine="321" w:firstLineChars="100"/>
        <w:jc w:val="both"/>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附件：</w:t>
      </w:r>
    </w:p>
    <w:p w14:paraId="72C0B16C">
      <w:pPr>
        <w:widowControl/>
        <w:spacing w:line="360" w:lineRule="auto"/>
        <w:ind w:firstLine="241" w:firstLineChars="10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资格审查现场考察表</w:t>
      </w:r>
    </w:p>
    <w:tbl>
      <w:tblPr>
        <w:tblStyle w:val="2"/>
        <w:tblpPr w:leftFromText="180" w:rightFromText="180" w:vertAnchor="text" w:horzAnchor="page" w:tblpX="1728" w:tblpY="39"/>
        <w:tblOverlap w:val="never"/>
        <w:tblW w:w="8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635"/>
        <w:gridCol w:w="1428"/>
        <w:gridCol w:w="2425"/>
        <w:gridCol w:w="1500"/>
      </w:tblGrid>
      <w:tr w14:paraId="7C70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2" w:type="dxa"/>
            <w:noWrap w:val="0"/>
            <w:vAlign w:val="center"/>
          </w:tcPr>
          <w:p w14:paraId="6D49F87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063" w:type="dxa"/>
            <w:gridSpan w:val="2"/>
            <w:noWrap w:val="0"/>
            <w:vAlign w:val="center"/>
          </w:tcPr>
          <w:p w14:paraId="076FDBA5">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投标供应商资格条件、自填信息</w:t>
            </w:r>
          </w:p>
        </w:tc>
        <w:tc>
          <w:tcPr>
            <w:tcW w:w="2425" w:type="dxa"/>
            <w:noWrap w:val="0"/>
            <w:vAlign w:val="center"/>
          </w:tcPr>
          <w:p w14:paraId="7D345FE6">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预审内容及方式</w:t>
            </w:r>
          </w:p>
        </w:tc>
        <w:tc>
          <w:tcPr>
            <w:tcW w:w="1500" w:type="dxa"/>
            <w:noWrap w:val="0"/>
            <w:vAlign w:val="center"/>
          </w:tcPr>
          <w:p w14:paraId="5900495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预审情况</w:t>
            </w:r>
          </w:p>
        </w:tc>
      </w:tr>
      <w:tr w14:paraId="686A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72" w:type="dxa"/>
            <w:noWrap w:val="0"/>
            <w:vAlign w:val="center"/>
          </w:tcPr>
          <w:p w14:paraId="5BC0E79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635" w:type="dxa"/>
            <w:noWrap w:val="0"/>
            <w:vAlign w:val="center"/>
          </w:tcPr>
          <w:p w14:paraId="739064F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w:t>
            </w:r>
            <w:r>
              <w:rPr>
                <w:rFonts w:hint="eastAsia" w:ascii="宋体" w:hAnsi="宋体" w:eastAsia="宋体" w:cs="宋体"/>
                <w:color w:val="auto"/>
                <w:sz w:val="21"/>
                <w:szCs w:val="21"/>
                <w:highlight w:val="none"/>
                <w:lang w:val="en-US" w:eastAsia="zh-CN"/>
              </w:rPr>
              <w:t>定代表</w:t>
            </w:r>
            <w:r>
              <w:rPr>
                <w:rFonts w:hint="eastAsia" w:ascii="宋体" w:hAnsi="宋体" w:eastAsia="宋体" w:cs="宋体"/>
                <w:color w:val="auto"/>
                <w:sz w:val="21"/>
                <w:szCs w:val="21"/>
                <w:highlight w:val="none"/>
              </w:rPr>
              <w:t>人姓名及联系电话</w:t>
            </w:r>
          </w:p>
        </w:tc>
        <w:tc>
          <w:tcPr>
            <w:tcW w:w="1428" w:type="dxa"/>
            <w:noWrap w:val="0"/>
            <w:vAlign w:val="center"/>
          </w:tcPr>
          <w:p w14:paraId="5A407CEB">
            <w:pPr>
              <w:jc w:val="center"/>
              <w:rPr>
                <w:rFonts w:hint="eastAsia" w:ascii="宋体" w:hAnsi="宋体" w:eastAsia="宋体" w:cs="宋体"/>
                <w:color w:val="auto"/>
                <w:sz w:val="21"/>
                <w:szCs w:val="21"/>
                <w:highlight w:val="none"/>
              </w:rPr>
            </w:pPr>
          </w:p>
        </w:tc>
        <w:tc>
          <w:tcPr>
            <w:tcW w:w="2425" w:type="dxa"/>
            <w:noWrap w:val="0"/>
            <w:vAlign w:val="center"/>
          </w:tcPr>
          <w:p w14:paraId="61AB185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身份证</w:t>
            </w:r>
          </w:p>
        </w:tc>
        <w:tc>
          <w:tcPr>
            <w:tcW w:w="1500" w:type="dxa"/>
            <w:noWrap w:val="0"/>
            <w:vAlign w:val="center"/>
          </w:tcPr>
          <w:p w14:paraId="144A9E2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6A2D9D8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578C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3E353F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635" w:type="dxa"/>
            <w:noWrap w:val="0"/>
            <w:vAlign w:val="center"/>
          </w:tcPr>
          <w:p w14:paraId="23B052B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固定经营场所地址</w:t>
            </w:r>
          </w:p>
        </w:tc>
        <w:tc>
          <w:tcPr>
            <w:tcW w:w="1428" w:type="dxa"/>
            <w:noWrap w:val="0"/>
            <w:vAlign w:val="center"/>
          </w:tcPr>
          <w:p w14:paraId="017C879B">
            <w:pPr>
              <w:jc w:val="center"/>
              <w:rPr>
                <w:rFonts w:hint="eastAsia" w:ascii="宋体" w:hAnsi="宋体" w:eastAsia="宋体" w:cs="宋体"/>
                <w:color w:val="auto"/>
                <w:sz w:val="21"/>
                <w:szCs w:val="21"/>
                <w:highlight w:val="none"/>
              </w:rPr>
            </w:pPr>
          </w:p>
        </w:tc>
        <w:tc>
          <w:tcPr>
            <w:tcW w:w="2425" w:type="dxa"/>
            <w:noWrap w:val="0"/>
            <w:vAlign w:val="center"/>
          </w:tcPr>
          <w:p w14:paraId="1A11619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现场核查自有房产证或租赁协议</w:t>
            </w:r>
          </w:p>
        </w:tc>
        <w:tc>
          <w:tcPr>
            <w:tcW w:w="1500" w:type="dxa"/>
            <w:noWrap w:val="0"/>
            <w:vAlign w:val="center"/>
          </w:tcPr>
          <w:p w14:paraId="09B532F1">
            <w:pPr>
              <w:jc w:val="left"/>
              <w:rPr>
                <w:rFonts w:hint="eastAsia" w:ascii="宋体" w:hAnsi="宋体" w:eastAsia="宋体" w:cs="宋体"/>
                <w:color w:val="auto"/>
                <w:sz w:val="21"/>
                <w:szCs w:val="21"/>
                <w:highlight w:val="none"/>
              </w:rPr>
            </w:pPr>
          </w:p>
        </w:tc>
      </w:tr>
      <w:tr w14:paraId="63EF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7BBE8DE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635" w:type="dxa"/>
            <w:noWrap w:val="0"/>
            <w:vAlign w:val="center"/>
          </w:tcPr>
          <w:p w14:paraId="5A75BD69">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是否具有独立承担民事责任的能力</w:t>
            </w:r>
          </w:p>
        </w:tc>
        <w:tc>
          <w:tcPr>
            <w:tcW w:w="1428" w:type="dxa"/>
            <w:noWrap w:val="0"/>
            <w:vAlign w:val="center"/>
          </w:tcPr>
          <w:p w14:paraId="7D614A9F">
            <w:pPr>
              <w:jc w:val="center"/>
              <w:rPr>
                <w:rFonts w:hint="eastAsia" w:ascii="宋体" w:hAnsi="宋体" w:eastAsia="宋体" w:cs="宋体"/>
                <w:color w:val="auto"/>
                <w:sz w:val="21"/>
                <w:szCs w:val="21"/>
                <w:highlight w:val="none"/>
              </w:rPr>
            </w:pPr>
          </w:p>
        </w:tc>
        <w:tc>
          <w:tcPr>
            <w:tcW w:w="2425" w:type="dxa"/>
            <w:noWrap w:val="0"/>
            <w:vAlign w:val="center"/>
          </w:tcPr>
          <w:p w14:paraId="7476B82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营业执照</w:t>
            </w:r>
          </w:p>
        </w:tc>
        <w:tc>
          <w:tcPr>
            <w:tcW w:w="1500" w:type="dxa"/>
            <w:noWrap w:val="0"/>
            <w:vAlign w:val="center"/>
          </w:tcPr>
          <w:p w14:paraId="7A11680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147B655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2F88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541667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635" w:type="dxa"/>
            <w:noWrap w:val="0"/>
            <w:vAlign w:val="center"/>
          </w:tcPr>
          <w:p w14:paraId="350BD81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是否具有良好的商业信誉和健全的财务制度</w:t>
            </w:r>
          </w:p>
        </w:tc>
        <w:tc>
          <w:tcPr>
            <w:tcW w:w="1428" w:type="dxa"/>
            <w:noWrap w:val="0"/>
            <w:vAlign w:val="center"/>
          </w:tcPr>
          <w:p w14:paraId="0468D987">
            <w:pPr>
              <w:jc w:val="center"/>
              <w:rPr>
                <w:rFonts w:hint="eastAsia" w:ascii="宋体" w:hAnsi="宋体" w:eastAsia="宋体" w:cs="宋体"/>
                <w:color w:val="auto"/>
                <w:sz w:val="21"/>
                <w:szCs w:val="21"/>
                <w:highlight w:val="none"/>
              </w:rPr>
            </w:pPr>
          </w:p>
        </w:tc>
        <w:tc>
          <w:tcPr>
            <w:tcW w:w="2425" w:type="dxa"/>
            <w:noWrap w:val="0"/>
            <w:vAlign w:val="center"/>
          </w:tcPr>
          <w:p w14:paraId="239BA60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现场核查：2025年度审计报告或开户银行资信证明</w:t>
            </w:r>
          </w:p>
        </w:tc>
        <w:tc>
          <w:tcPr>
            <w:tcW w:w="1500" w:type="dxa"/>
            <w:noWrap w:val="0"/>
            <w:vAlign w:val="center"/>
          </w:tcPr>
          <w:p w14:paraId="327CBC1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3B8E3A6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5A13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72" w:type="dxa"/>
            <w:noWrap w:val="0"/>
            <w:vAlign w:val="center"/>
          </w:tcPr>
          <w:p w14:paraId="7A97AFF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p>
        </w:tc>
        <w:tc>
          <w:tcPr>
            <w:tcW w:w="7988" w:type="dxa"/>
            <w:gridSpan w:val="4"/>
            <w:noWrap w:val="0"/>
            <w:vAlign w:val="center"/>
          </w:tcPr>
          <w:p w14:paraId="067D8E03">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具有履行合同所必需的设备和专业技术能力</w:t>
            </w:r>
          </w:p>
        </w:tc>
      </w:tr>
      <w:tr w14:paraId="0690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49B2436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5.1</w:t>
            </w:r>
          </w:p>
        </w:tc>
        <w:tc>
          <w:tcPr>
            <w:tcW w:w="2635" w:type="dxa"/>
            <w:noWrap w:val="0"/>
            <w:vAlign w:val="center"/>
          </w:tcPr>
          <w:p w14:paraId="67BCFB9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配送中心在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公里内  （注:以配送地点到苏州市杨枝小学校或苏州市三元第三小学校或苏州市湄长小学或苏州市崇道小学校这四所学校中的任意一所学校）</w:t>
            </w:r>
          </w:p>
        </w:tc>
        <w:tc>
          <w:tcPr>
            <w:tcW w:w="1428" w:type="dxa"/>
            <w:noWrap w:val="0"/>
            <w:vAlign w:val="center"/>
          </w:tcPr>
          <w:p w14:paraId="055C46BF">
            <w:pPr>
              <w:jc w:val="center"/>
              <w:rPr>
                <w:rFonts w:hint="eastAsia" w:ascii="宋体" w:hAnsi="宋体" w:eastAsia="宋体" w:cs="宋体"/>
                <w:color w:val="auto"/>
                <w:sz w:val="21"/>
                <w:szCs w:val="21"/>
                <w:highlight w:val="none"/>
              </w:rPr>
            </w:pPr>
          </w:p>
        </w:tc>
        <w:tc>
          <w:tcPr>
            <w:tcW w:w="2425" w:type="dxa"/>
            <w:noWrap w:val="0"/>
            <w:vAlign w:val="center"/>
          </w:tcPr>
          <w:p w14:paraId="4372EF4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现场测量</w:t>
            </w:r>
          </w:p>
        </w:tc>
        <w:tc>
          <w:tcPr>
            <w:tcW w:w="1500" w:type="dxa"/>
            <w:noWrap w:val="0"/>
            <w:vAlign w:val="center"/>
          </w:tcPr>
          <w:p w14:paraId="44E7197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实测:   </w:t>
            </w:r>
          </w:p>
          <w:p w14:paraId="6880C4F8">
            <w:pPr>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公里</w:t>
            </w:r>
          </w:p>
        </w:tc>
      </w:tr>
      <w:tr w14:paraId="5632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33381D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5.2</w:t>
            </w:r>
          </w:p>
        </w:tc>
        <w:tc>
          <w:tcPr>
            <w:tcW w:w="2635" w:type="dxa"/>
            <w:noWrap w:val="0"/>
            <w:vAlign w:val="center"/>
          </w:tcPr>
          <w:p w14:paraId="293672B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配送中心</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米内无粉尘、垃圾、虫害等污染源</w:t>
            </w:r>
          </w:p>
        </w:tc>
        <w:tc>
          <w:tcPr>
            <w:tcW w:w="1428" w:type="dxa"/>
            <w:noWrap w:val="0"/>
            <w:vAlign w:val="center"/>
          </w:tcPr>
          <w:p w14:paraId="10684E3C">
            <w:pPr>
              <w:jc w:val="center"/>
              <w:rPr>
                <w:rFonts w:hint="eastAsia" w:ascii="宋体" w:hAnsi="宋体" w:eastAsia="宋体" w:cs="宋体"/>
                <w:color w:val="auto"/>
                <w:sz w:val="21"/>
                <w:szCs w:val="21"/>
                <w:highlight w:val="none"/>
              </w:rPr>
            </w:pPr>
          </w:p>
        </w:tc>
        <w:tc>
          <w:tcPr>
            <w:tcW w:w="2425" w:type="dxa"/>
            <w:noWrap w:val="0"/>
            <w:vAlign w:val="center"/>
          </w:tcPr>
          <w:p w14:paraId="777491D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现场核查、测量</w:t>
            </w:r>
          </w:p>
        </w:tc>
        <w:tc>
          <w:tcPr>
            <w:tcW w:w="1500" w:type="dxa"/>
            <w:noWrap w:val="0"/>
            <w:vAlign w:val="center"/>
          </w:tcPr>
          <w:p w14:paraId="223A480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156C23D4">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1EA1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619746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5.3</w:t>
            </w:r>
          </w:p>
        </w:tc>
        <w:tc>
          <w:tcPr>
            <w:tcW w:w="2635" w:type="dxa"/>
            <w:noWrap w:val="0"/>
            <w:vAlign w:val="center"/>
          </w:tcPr>
          <w:p w14:paraId="7817BA6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配送中心食品处理区面积为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平方米</w:t>
            </w:r>
          </w:p>
        </w:tc>
        <w:tc>
          <w:tcPr>
            <w:tcW w:w="1428" w:type="dxa"/>
            <w:noWrap w:val="0"/>
            <w:vAlign w:val="center"/>
          </w:tcPr>
          <w:p w14:paraId="25A022B7">
            <w:pPr>
              <w:jc w:val="center"/>
              <w:rPr>
                <w:rFonts w:hint="eastAsia" w:ascii="宋体" w:hAnsi="宋体" w:eastAsia="宋体" w:cs="宋体"/>
                <w:color w:val="auto"/>
                <w:sz w:val="21"/>
                <w:szCs w:val="21"/>
                <w:highlight w:val="none"/>
              </w:rPr>
            </w:pPr>
          </w:p>
        </w:tc>
        <w:tc>
          <w:tcPr>
            <w:tcW w:w="2425" w:type="dxa"/>
            <w:noWrap w:val="0"/>
            <w:vAlign w:val="center"/>
          </w:tcPr>
          <w:p w14:paraId="309A785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现场测量</w:t>
            </w:r>
          </w:p>
        </w:tc>
        <w:tc>
          <w:tcPr>
            <w:tcW w:w="1500" w:type="dxa"/>
            <w:noWrap w:val="0"/>
            <w:vAlign w:val="center"/>
          </w:tcPr>
          <w:p w14:paraId="507E4D1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实测:</w:t>
            </w:r>
          </w:p>
          <w:p w14:paraId="60365947">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平方米</w:t>
            </w:r>
          </w:p>
        </w:tc>
      </w:tr>
      <w:tr w14:paraId="3BF0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2B5D581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5.4</w:t>
            </w:r>
          </w:p>
        </w:tc>
        <w:tc>
          <w:tcPr>
            <w:tcW w:w="2635" w:type="dxa"/>
            <w:noWrap w:val="0"/>
            <w:vAlign w:val="center"/>
          </w:tcPr>
          <w:p w14:paraId="6BC86EA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锅灶数量为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个</w:t>
            </w:r>
          </w:p>
        </w:tc>
        <w:tc>
          <w:tcPr>
            <w:tcW w:w="1428" w:type="dxa"/>
            <w:noWrap w:val="0"/>
            <w:vAlign w:val="center"/>
          </w:tcPr>
          <w:p w14:paraId="11820D45">
            <w:pPr>
              <w:jc w:val="center"/>
              <w:rPr>
                <w:rFonts w:hint="eastAsia" w:ascii="宋体" w:hAnsi="宋体" w:eastAsia="宋体" w:cs="宋体"/>
                <w:color w:val="auto"/>
                <w:sz w:val="21"/>
                <w:szCs w:val="21"/>
                <w:highlight w:val="none"/>
              </w:rPr>
            </w:pPr>
          </w:p>
        </w:tc>
        <w:tc>
          <w:tcPr>
            <w:tcW w:w="2425" w:type="dxa"/>
            <w:noWrap w:val="0"/>
            <w:vAlign w:val="center"/>
          </w:tcPr>
          <w:p w14:paraId="130ECA7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现场测量</w:t>
            </w:r>
          </w:p>
        </w:tc>
        <w:tc>
          <w:tcPr>
            <w:tcW w:w="1500" w:type="dxa"/>
            <w:noWrap w:val="0"/>
            <w:vAlign w:val="center"/>
          </w:tcPr>
          <w:p w14:paraId="4DAE9FE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实测:</w:t>
            </w:r>
          </w:p>
          <w:p w14:paraId="001FD48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个</w:t>
            </w:r>
          </w:p>
        </w:tc>
      </w:tr>
      <w:tr w14:paraId="5EA3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20323F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5.5</w:t>
            </w:r>
          </w:p>
        </w:tc>
        <w:tc>
          <w:tcPr>
            <w:tcW w:w="2635" w:type="dxa"/>
            <w:noWrap w:val="0"/>
            <w:vAlign w:val="center"/>
          </w:tcPr>
          <w:p w14:paraId="10CDE4FB">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办公区面积为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平方米</w:t>
            </w:r>
          </w:p>
        </w:tc>
        <w:tc>
          <w:tcPr>
            <w:tcW w:w="1428" w:type="dxa"/>
            <w:noWrap w:val="0"/>
            <w:vAlign w:val="center"/>
          </w:tcPr>
          <w:p w14:paraId="3E9C099D">
            <w:pPr>
              <w:jc w:val="center"/>
              <w:rPr>
                <w:rFonts w:hint="eastAsia" w:ascii="宋体" w:hAnsi="宋体" w:eastAsia="宋体" w:cs="宋体"/>
                <w:color w:val="auto"/>
                <w:sz w:val="21"/>
                <w:szCs w:val="21"/>
                <w:highlight w:val="none"/>
              </w:rPr>
            </w:pPr>
          </w:p>
        </w:tc>
        <w:tc>
          <w:tcPr>
            <w:tcW w:w="2425" w:type="dxa"/>
            <w:noWrap w:val="0"/>
            <w:vAlign w:val="center"/>
          </w:tcPr>
          <w:p w14:paraId="62D5794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现场测量</w:t>
            </w:r>
          </w:p>
        </w:tc>
        <w:tc>
          <w:tcPr>
            <w:tcW w:w="1500" w:type="dxa"/>
            <w:noWrap w:val="0"/>
            <w:vAlign w:val="center"/>
          </w:tcPr>
          <w:p w14:paraId="488FE4B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实测:</w:t>
            </w:r>
          </w:p>
          <w:p w14:paraId="19480095">
            <w:pPr>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平方米</w:t>
            </w:r>
          </w:p>
        </w:tc>
      </w:tr>
      <w:tr w14:paraId="481A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7DF8B78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5.6</w:t>
            </w:r>
          </w:p>
        </w:tc>
        <w:tc>
          <w:tcPr>
            <w:tcW w:w="2635" w:type="dxa"/>
            <w:noWrap w:val="0"/>
            <w:vAlign w:val="center"/>
          </w:tcPr>
          <w:p w14:paraId="1A1D104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固定员工人数为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人</w:t>
            </w:r>
          </w:p>
        </w:tc>
        <w:tc>
          <w:tcPr>
            <w:tcW w:w="1428" w:type="dxa"/>
            <w:noWrap w:val="0"/>
            <w:vAlign w:val="center"/>
          </w:tcPr>
          <w:p w14:paraId="302B5298">
            <w:pPr>
              <w:jc w:val="center"/>
              <w:rPr>
                <w:rFonts w:hint="eastAsia" w:ascii="宋体" w:hAnsi="宋体" w:eastAsia="宋体" w:cs="宋体"/>
                <w:color w:val="auto"/>
                <w:sz w:val="21"/>
                <w:szCs w:val="21"/>
                <w:highlight w:val="none"/>
              </w:rPr>
            </w:pPr>
          </w:p>
        </w:tc>
        <w:tc>
          <w:tcPr>
            <w:tcW w:w="2425" w:type="dxa"/>
            <w:noWrap w:val="0"/>
            <w:vAlign w:val="center"/>
          </w:tcPr>
          <w:p w14:paraId="7C2440D8">
            <w:pPr>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现场核查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相关人员</w:t>
            </w:r>
            <w:r>
              <w:rPr>
                <w:rFonts w:hint="eastAsia" w:ascii="宋体" w:hAnsi="宋体" w:eastAsia="宋体" w:cs="宋体"/>
                <w:color w:val="auto"/>
                <w:sz w:val="21"/>
                <w:szCs w:val="21"/>
                <w:highlight w:val="none"/>
                <w:lang w:val="zh-CN" w:eastAsia="zh-CN"/>
              </w:rPr>
              <w:t>近三个月</w:t>
            </w:r>
            <w:r>
              <w:rPr>
                <w:rFonts w:hint="eastAsia" w:ascii="宋体" w:hAnsi="宋体" w:eastAsia="宋体" w:cs="宋体"/>
                <w:color w:val="auto"/>
                <w:sz w:val="21"/>
                <w:szCs w:val="21"/>
                <w:highlight w:val="none"/>
                <w:lang w:val="en-US" w:eastAsia="zh-CN"/>
              </w:rPr>
              <w:t>及以上</w:t>
            </w:r>
            <w:r>
              <w:rPr>
                <w:rFonts w:hint="eastAsia" w:ascii="宋体" w:hAnsi="宋体" w:eastAsia="宋体" w:cs="宋体"/>
                <w:color w:val="auto"/>
                <w:sz w:val="21"/>
                <w:szCs w:val="21"/>
                <w:highlight w:val="none"/>
                <w:lang w:val="zh-CN" w:eastAsia="zh-CN"/>
              </w:rPr>
              <w:t>社保证明（成立不满一年的</w:t>
            </w:r>
            <w:r>
              <w:rPr>
                <w:rFonts w:hint="eastAsia" w:ascii="宋体" w:hAnsi="宋体" w:eastAsia="宋体" w:cs="宋体"/>
                <w:color w:val="auto"/>
                <w:sz w:val="21"/>
                <w:szCs w:val="21"/>
                <w:highlight w:val="none"/>
                <w:lang w:val="en-US" w:eastAsia="zh-CN"/>
              </w:rPr>
              <w:t>供应商可</w:t>
            </w:r>
            <w:r>
              <w:rPr>
                <w:rFonts w:hint="eastAsia" w:ascii="宋体" w:hAnsi="宋体" w:eastAsia="宋体" w:cs="宋体"/>
                <w:color w:val="auto"/>
                <w:sz w:val="21"/>
                <w:szCs w:val="21"/>
                <w:highlight w:val="none"/>
                <w:lang w:val="zh-CN" w:eastAsia="zh-CN"/>
              </w:rPr>
              <w:t>提供任意一个月的</w:t>
            </w:r>
            <w:r>
              <w:rPr>
                <w:rFonts w:hint="eastAsia" w:ascii="宋体" w:hAnsi="宋体" w:eastAsia="宋体" w:cs="宋体"/>
                <w:color w:val="auto"/>
                <w:sz w:val="21"/>
                <w:szCs w:val="21"/>
                <w:highlight w:val="none"/>
                <w:lang w:val="en-US" w:eastAsia="zh-CN"/>
              </w:rPr>
              <w:t>社保证明、</w:t>
            </w:r>
            <w:r>
              <w:rPr>
                <w:rFonts w:hint="eastAsia" w:ascii="宋体" w:hAnsi="宋体" w:eastAsia="宋体" w:cs="宋体"/>
                <w:color w:val="auto"/>
                <w:sz w:val="21"/>
                <w:szCs w:val="21"/>
                <w:highlight w:val="none"/>
                <w:lang w:val="zh-CN" w:eastAsia="zh-CN"/>
              </w:rPr>
              <w:t>有效健康证明</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lang w:val="zh-CN" w:eastAsia="zh-CN"/>
              </w:rPr>
              <w:t>公安部门出具</w:t>
            </w:r>
            <w:r>
              <w:rPr>
                <w:rFonts w:hint="eastAsia" w:ascii="宋体" w:hAnsi="宋体" w:eastAsia="宋体" w:cs="宋体"/>
                <w:color w:val="auto"/>
                <w:sz w:val="21"/>
                <w:szCs w:val="21"/>
                <w:highlight w:val="none"/>
                <w:lang w:val="en-US" w:eastAsia="zh-CN"/>
              </w:rPr>
              <w:t>有效期内的</w:t>
            </w:r>
            <w:r>
              <w:rPr>
                <w:rFonts w:hint="eastAsia" w:ascii="宋体" w:hAnsi="宋体" w:eastAsia="宋体" w:cs="宋体"/>
                <w:color w:val="auto"/>
                <w:sz w:val="21"/>
                <w:szCs w:val="21"/>
                <w:highlight w:val="none"/>
                <w:lang w:val="zh-CN" w:eastAsia="zh-CN"/>
              </w:rPr>
              <w:t>无犯罪记录证明</w:t>
            </w:r>
            <w:r>
              <w:rPr>
                <w:rFonts w:hint="eastAsia" w:ascii="宋体" w:hAnsi="宋体" w:eastAsia="宋体" w:cs="宋体"/>
                <w:color w:val="auto"/>
                <w:sz w:val="21"/>
                <w:szCs w:val="21"/>
                <w:highlight w:val="none"/>
                <w:lang w:val="en-US" w:eastAsia="zh-CN"/>
              </w:rPr>
              <w:t>）</w:t>
            </w:r>
          </w:p>
        </w:tc>
        <w:tc>
          <w:tcPr>
            <w:tcW w:w="1500" w:type="dxa"/>
            <w:noWrap w:val="0"/>
            <w:vAlign w:val="center"/>
          </w:tcPr>
          <w:p w14:paraId="5AFE271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实际人数:</w:t>
            </w:r>
          </w:p>
          <w:p w14:paraId="7DD4CD69">
            <w:pPr>
              <w:jc w:val="left"/>
              <w:rPr>
                <w:rFonts w:hint="eastAsia" w:ascii="宋体" w:hAnsi="宋体" w:eastAsia="宋体" w:cs="宋体"/>
                <w:color w:val="auto"/>
                <w:sz w:val="21"/>
                <w:szCs w:val="21"/>
                <w:highlight w:val="none"/>
              </w:rPr>
            </w:pPr>
          </w:p>
          <w:p w14:paraId="100FDFFB">
            <w:pPr>
              <w:ind w:firstLine="840" w:firstLineChars="4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r>
      <w:tr w14:paraId="6D8A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66213C3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5.7</w:t>
            </w:r>
          </w:p>
        </w:tc>
        <w:tc>
          <w:tcPr>
            <w:tcW w:w="2635" w:type="dxa"/>
            <w:noWrap w:val="0"/>
            <w:vAlign w:val="center"/>
          </w:tcPr>
          <w:p w14:paraId="791BD49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配送车辆</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辆</w:t>
            </w:r>
          </w:p>
        </w:tc>
        <w:tc>
          <w:tcPr>
            <w:tcW w:w="1428" w:type="dxa"/>
            <w:noWrap w:val="0"/>
            <w:vAlign w:val="center"/>
          </w:tcPr>
          <w:p w14:paraId="5C31AE23">
            <w:pPr>
              <w:jc w:val="center"/>
              <w:rPr>
                <w:rFonts w:hint="eastAsia" w:ascii="宋体" w:hAnsi="宋体" w:eastAsia="宋体" w:cs="宋体"/>
                <w:color w:val="auto"/>
                <w:sz w:val="21"/>
                <w:szCs w:val="21"/>
                <w:highlight w:val="none"/>
              </w:rPr>
            </w:pPr>
          </w:p>
        </w:tc>
        <w:tc>
          <w:tcPr>
            <w:tcW w:w="2425" w:type="dxa"/>
            <w:noWrap w:val="0"/>
            <w:vAlign w:val="center"/>
          </w:tcPr>
          <w:p w14:paraId="3C024DD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车辆机动车登记证书、车辆行驶证及有效交强险保险单</w:t>
            </w:r>
          </w:p>
        </w:tc>
        <w:tc>
          <w:tcPr>
            <w:tcW w:w="1500" w:type="dxa"/>
            <w:noWrap w:val="0"/>
            <w:vAlign w:val="center"/>
          </w:tcPr>
          <w:p w14:paraId="1C21D25D">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实际车辆：</w:t>
            </w:r>
            <w:r>
              <w:rPr>
                <w:rFonts w:hint="eastAsia" w:ascii="宋体" w:hAnsi="宋体" w:eastAsia="宋体" w:cs="宋体"/>
                <w:color w:val="auto"/>
                <w:sz w:val="21"/>
                <w:szCs w:val="21"/>
                <w:highlight w:val="none"/>
                <w:lang w:val="en-US" w:eastAsia="zh-CN"/>
              </w:rPr>
              <w:t xml:space="preserve"> </w:t>
            </w:r>
          </w:p>
          <w:p w14:paraId="7EC85E22">
            <w:pPr>
              <w:ind w:firstLine="1050" w:firstLineChars="5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辆</w:t>
            </w:r>
          </w:p>
        </w:tc>
      </w:tr>
      <w:tr w14:paraId="329A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383C6DD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5.8</w:t>
            </w:r>
          </w:p>
        </w:tc>
        <w:tc>
          <w:tcPr>
            <w:tcW w:w="2635" w:type="dxa"/>
            <w:noWrap w:val="0"/>
            <w:vAlign w:val="center"/>
          </w:tcPr>
          <w:p w14:paraId="0007974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送餐过程具备全程热保温的设施和能力（完备/较完备/不完备）</w:t>
            </w:r>
          </w:p>
        </w:tc>
        <w:tc>
          <w:tcPr>
            <w:tcW w:w="1428" w:type="dxa"/>
            <w:noWrap w:val="0"/>
            <w:vAlign w:val="center"/>
          </w:tcPr>
          <w:p w14:paraId="1CBB04DC">
            <w:pPr>
              <w:jc w:val="center"/>
              <w:rPr>
                <w:rFonts w:hint="eastAsia" w:ascii="宋体" w:hAnsi="宋体" w:eastAsia="宋体" w:cs="宋体"/>
                <w:color w:val="auto"/>
                <w:sz w:val="21"/>
                <w:szCs w:val="21"/>
                <w:highlight w:val="none"/>
              </w:rPr>
            </w:pPr>
          </w:p>
        </w:tc>
        <w:tc>
          <w:tcPr>
            <w:tcW w:w="2425" w:type="dxa"/>
            <w:noWrap w:val="0"/>
            <w:vAlign w:val="center"/>
          </w:tcPr>
          <w:p w14:paraId="636C32F7">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w:t>
            </w:r>
          </w:p>
        </w:tc>
        <w:tc>
          <w:tcPr>
            <w:tcW w:w="1500" w:type="dxa"/>
            <w:noWrap w:val="0"/>
            <w:vAlign w:val="center"/>
          </w:tcPr>
          <w:p w14:paraId="1077DFF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完备/较完备/不完备</w:t>
            </w:r>
          </w:p>
        </w:tc>
      </w:tr>
      <w:tr w14:paraId="2A05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348ABC9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5.9</w:t>
            </w:r>
          </w:p>
        </w:tc>
        <w:tc>
          <w:tcPr>
            <w:tcW w:w="2635" w:type="dxa"/>
            <w:noWrap w:val="0"/>
            <w:vAlign w:val="center"/>
          </w:tcPr>
          <w:p w14:paraId="7F27B1B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具有依法缴纳税收和社会保障资金的良好记录</w:t>
            </w:r>
          </w:p>
        </w:tc>
        <w:tc>
          <w:tcPr>
            <w:tcW w:w="1428" w:type="dxa"/>
            <w:noWrap w:val="0"/>
            <w:vAlign w:val="center"/>
          </w:tcPr>
          <w:p w14:paraId="0E0F116B">
            <w:pPr>
              <w:jc w:val="center"/>
              <w:rPr>
                <w:rFonts w:hint="eastAsia" w:ascii="宋体" w:hAnsi="宋体" w:eastAsia="宋体" w:cs="宋体"/>
                <w:color w:val="auto"/>
                <w:sz w:val="21"/>
                <w:szCs w:val="21"/>
                <w:highlight w:val="none"/>
              </w:rPr>
            </w:pPr>
          </w:p>
        </w:tc>
        <w:tc>
          <w:tcPr>
            <w:tcW w:w="2425" w:type="dxa"/>
            <w:noWrap w:val="0"/>
            <w:vAlign w:val="center"/>
          </w:tcPr>
          <w:p w14:paraId="4F41005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采购活动前一年内至少三个月依法缴纳税收（如申报表/税票/缴款书）和社会保障资金的有效证明材料</w:t>
            </w:r>
          </w:p>
        </w:tc>
        <w:tc>
          <w:tcPr>
            <w:tcW w:w="1500" w:type="dxa"/>
            <w:noWrap w:val="0"/>
            <w:vAlign w:val="center"/>
          </w:tcPr>
          <w:p w14:paraId="51531C9E">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684EFE4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1BCE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618AC3F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p>
        </w:tc>
        <w:tc>
          <w:tcPr>
            <w:tcW w:w="2635" w:type="dxa"/>
            <w:noWrap w:val="0"/>
            <w:vAlign w:val="center"/>
          </w:tcPr>
          <w:p w14:paraId="2F66829B">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是否</w:t>
            </w:r>
            <w:r>
              <w:rPr>
                <w:rFonts w:hint="eastAsia" w:ascii="宋体" w:hAnsi="宋体" w:eastAsia="宋体" w:cs="宋体"/>
                <w:color w:val="auto"/>
                <w:sz w:val="21"/>
                <w:szCs w:val="21"/>
                <w:highlight w:val="none"/>
                <w:lang w:val="zh-CN" w:eastAsia="zh-CN"/>
              </w:rPr>
              <w:t>具有</w:t>
            </w:r>
            <w:r>
              <w:rPr>
                <w:rFonts w:hint="eastAsia" w:ascii="宋体" w:hAnsi="宋体" w:eastAsia="宋体" w:cs="宋体"/>
                <w:color w:val="auto"/>
                <w:sz w:val="21"/>
                <w:szCs w:val="21"/>
                <w:highlight w:val="none"/>
                <w:lang w:val="en-US" w:eastAsia="zh-CN"/>
              </w:rPr>
              <w:t>行业主管部门颁发的</w:t>
            </w:r>
            <w:r>
              <w:rPr>
                <w:rFonts w:hint="eastAsia" w:ascii="宋体" w:hAnsi="宋体" w:eastAsia="宋体" w:cs="宋体"/>
                <w:color w:val="auto"/>
                <w:sz w:val="21"/>
                <w:szCs w:val="21"/>
                <w:highlight w:val="none"/>
                <w:lang w:val="zh-CN" w:eastAsia="zh-CN"/>
              </w:rPr>
              <w:t>有效的</w:t>
            </w:r>
            <w:r>
              <w:rPr>
                <w:rFonts w:hint="eastAsia" w:ascii="宋体" w:hAnsi="宋体" w:eastAsia="宋体" w:cs="宋体"/>
                <w:color w:val="auto"/>
                <w:sz w:val="21"/>
                <w:szCs w:val="21"/>
                <w:highlight w:val="none"/>
                <w:lang w:val="en-US" w:eastAsia="zh-CN"/>
              </w:rPr>
              <w:t>《食品经营许可证》且主体业态包括餐饮服务经营者和集体用餐配送。</w:t>
            </w:r>
          </w:p>
        </w:tc>
        <w:tc>
          <w:tcPr>
            <w:tcW w:w="1428" w:type="dxa"/>
            <w:noWrap w:val="0"/>
            <w:vAlign w:val="center"/>
          </w:tcPr>
          <w:p w14:paraId="0D758111">
            <w:pPr>
              <w:jc w:val="center"/>
              <w:rPr>
                <w:rFonts w:hint="eastAsia" w:ascii="宋体" w:hAnsi="宋体" w:eastAsia="宋体" w:cs="宋体"/>
                <w:color w:val="auto"/>
                <w:sz w:val="21"/>
                <w:szCs w:val="21"/>
                <w:highlight w:val="none"/>
              </w:rPr>
            </w:pPr>
          </w:p>
        </w:tc>
        <w:tc>
          <w:tcPr>
            <w:tcW w:w="2425" w:type="dxa"/>
            <w:noWrap w:val="0"/>
            <w:vAlign w:val="center"/>
          </w:tcPr>
          <w:p w14:paraId="3B5B48E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现场核查</w:t>
            </w:r>
          </w:p>
        </w:tc>
        <w:tc>
          <w:tcPr>
            <w:tcW w:w="1500" w:type="dxa"/>
            <w:noWrap w:val="0"/>
            <w:vAlign w:val="center"/>
          </w:tcPr>
          <w:p w14:paraId="07B2525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6D7BC283">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r w14:paraId="3D97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72" w:type="dxa"/>
            <w:noWrap w:val="0"/>
            <w:vAlign w:val="center"/>
          </w:tcPr>
          <w:p w14:paraId="1D5E0AB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2635" w:type="dxa"/>
            <w:noWrap w:val="0"/>
            <w:vAlign w:val="center"/>
          </w:tcPr>
          <w:p w14:paraId="1042868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未被“信用中国”网站（www.creditchina.gov.cn）列入失信执行人、重大税收违法案件当事人名单、严重违法失信行为记录名单</w:t>
            </w:r>
          </w:p>
        </w:tc>
        <w:tc>
          <w:tcPr>
            <w:tcW w:w="1428" w:type="dxa"/>
            <w:noWrap w:val="0"/>
            <w:vAlign w:val="center"/>
          </w:tcPr>
          <w:p w14:paraId="360FE267">
            <w:pPr>
              <w:jc w:val="center"/>
              <w:rPr>
                <w:rFonts w:hint="eastAsia" w:ascii="宋体" w:hAnsi="宋体" w:eastAsia="宋体" w:cs="宋体"/>
                <w:color w:val="auto"/>
                <w:sz w:val="21"/>
                <w:szCs w:val="21"/>
                <w:highlight w:val="none"/>
              </w:rPr>
            </w:pPr>
          </w:p>
        </w:tc>
        <w:tc>
          <w:tcPr>
            <w:tcW w:w="2425" w:type="dxa"/>
            <w:noWrap w:val="0"/>
            <w:vAlign w:val="center"/>
          </w:tcPr>
          <w:p w14:paraId="374763B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现场核查：信用报告</w:t>
            </w:r>
          </w:p>
        </w:tc>
        <w:tc>
          <w:tcPr>
            <w:tcW w:w="1500" w:type="dxa"/>
            <w:noWrap w:val="0"/>
            <w:vAlign w:val="center"/>
          </w:tcPr>
          <w:p w14:paraId="195D6867">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口符合</w:t>
            </w:r>
          </w:p>
          <w:p w14:paraId="388EF49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口不符合</w:t>
            </w:r>
          </w:p>
        </w:tc>
      </w:tr>
    </w:tbl>
    <w:p w14:paraId="005E778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注：资格预审表中任意一项不符合招标文件要求，将取消该供应商的投标资格</w:t>
      </w:r>
    </w:p>
    <w:p w14:paraId="50380B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1.投标供应商如实填写本表格后，按照规定时间及方式递交。如未按上述要求操作，采购人有权拒收本预审表。</w:t>
      </w:r>
    </w:p>
    <w:p w14:paraId="6989C2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投标供应商应在现场核查前，按照表格中“预审内容及方式”的规定准备齐全材料（含原件以及加盖公章的复印件），在核查现场一次性递交给资格预审工作小组。未按照规定执行的或者核查现场无法提供的，视同“不符合”。</w:t>
      </w:r>
    </w:p>
    <w:p w14:paraId="643087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3.本表中所需的相关证书、证件均须在有效期内，否则不予通过资格审查。</w:t>
      </w:r>
    </w:p>
    <w:p w14:paraId="260E74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4.投标供应商如有疑问应现场提出并协商解决。投标供应商拒绝签字确认的，视为放弃投标。</w:t>
      </w:r>
    </w:p>
    <w:p w14:paraId="2EF4CB0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color w:val="auto"/>
          <w:sz w:val="32"/>
          <w:szCs w:val="32"/>
          <w:highlight w:val="none"/>
          <w:lang w:val="en-US" w:eastAsia="zh-CN"/>
        </w:rPr>
      </w:pPr>
    </w:p>
    <w:p w14:paraId="70C695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u w:val="single"/>
          <w:lang w:val="en-US" w:eastAsia="zh-CN"/>
        </w:rPr>
      </w:pPr>
      <w:r>
        <w:rPr>
          <w:rFonts w:hint="eastAsia" w:ascii="仿宋" w:hAnsi="仿宋" w:eastAsia="仿宋" w:cs="仿宋"/>
          <w:b w:val="0"/>
          <w:bCs w:val="0"/>
          <w:color w:val="auto"/>
          <w:sz w:val="32"/>
          <w:szCs w:val="32"/>
          <w:highlight w:val="none"/>
          <w:lang w:val="en-US" w:eastAsia="zh-CN"/>
        </w:rPr>
        <w:t>投标人（盖章）:</w:t>
      </w:r>
      <w:r>
        <w:rPr>
          <w:rFonts w:hint="eastAsia" w:ascii="仿宋" w:hAnsi="仿宋" w:eastAsia="仿宋" w:cs="仿宋"/>
          <w:b w:val="0"/>
          <w:bCs w:val="0"/>
          <w:color w:val="auto"/>
          <w:sz w:val="32"/>
          <w:szCs w:val="32"/>
          <w:highlight w:val="none"/>
          <w:u w:val="single"/>
          <w:lang w:val="en-US" w:eastAsia="zh-CN"/>
        </w:rPr>
        <w:t xml:space="preserve">                           </w:t>
      </w:r>
    </w:p>
    <w:p w14:paraId="6ADE63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p>
    <w:p w14:paraId="082374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highlight w:val="none"/>
          <w:u w:val="single"/>
          <w:lang w:val="en-US" w:eastAsia="zh-CN"/>
        </w:rPr>
      </w:pPr>
      <w:r>
        <w:rPr>
          <w:rFonts w:hint="eastAsia" w:ascii="仿宋" w:hAnsi="仿宋" w:eastAsia="仿宋" w:cs="仿宋"/>
          <w:b w:val="0"/>
          <w:bCs w:val="0"/>
          <w:color w:val="auto"/>
          <w:sz w:val="32"/>
          <w:szCs w:val="32"/>
          <w:highlight w:val="none"/>
          <w:lang w:val="en-US" w:eastAsia="zh-CN"/>
        </w:rPr>
        <w:t>法人代表（签字或盖章）:</w:t>
      </w:r>
      <w:r>
        <w:rPr>
          <w:rFonts w:hint="eastAsia" w:ascii="仿宋" w:hAnsi="仿宋" w:eastAsia="仿宋" w:cs="仿宋"/>
          <w:b w:val="0"/>
          <w:bCs w:val="0"/>
          <w:color w:val="auto"/>
          <w:sz w:val="32"/>
          <w:szCs w:val="32"/>
          <w:highlight w:val="none"/>
          <w:u w:val="single"/>
          <w:lang w:val="en-US" w:eastAsia="zh-CN"/>
        </w:rPr>
        <w:t xml:space="preserve">                    </w:t>
      </w:r>
    </w:p>
    <w:p w14:paraId="5ADFA9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val="en-US" w:eastAsia="zh-CN"/>
        </w:rPr>
        <w:t>日期：     年    月    日</w:t>
      </w:r>
    </w:p>
    <w:p w14:paraId="6ECE5D6D">
      <w:pPr>
        <w:rPr>
          <w:rFonts w:hint="eastAsia" w:ascii="仿宋_GB2312" w:hAnsi="仿宋_GB2312" w:eastAsia="仿宋_GB2312" w:cs="仿宋_GB2312"/>
          <w:sz w:val="32"/>
          <w:szCs w:val="32"/>
        </w:rPr>
      </w:pPr>
    </w:p>
    <w:p w14:paraId="3AAEE300">
      <w:pPr>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AD479A"/>
    <w:rsid w:val="4CAD479A"/>
    <w:rsid w:val="4E1C7FE8"/>
    <w:rsid w:val="4FE036BD"/>
    <w:rsid w:val="52FA0600"/>
    <w:rsid w:val="62D27BAF"/>
    <w:rsid w:val="6A407F2E"/>
    <w:rsid w:val="6F7C5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21</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2026-07-15T06:09:00Z</dcterms:created>
  <dc:creator>Administrator</dc:creator>
  <cp:lastModifiedBy>Administrator</cp:lastModifiedBy>
  <dcterms:modified xsi:type="dcterms:W3CDTF">2026-07-15T06:50:43Z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BFA87A1932474FFF9E63D05BAF932FBF_11</vt:lpwstr>
  </property>
</Properties>
</file>