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leftChars="0" w:right="0" w:firstLine="0" w:firstLineChars="0"/>
        <w:jc w:val="both"/>
        <w:textAlignment w:val="auto"/>
        <w:rPr>
          <w:rFonts w:hint="eastAsia" w:ascii="仿宋_GB2312" w:hAnsi="仿宋_GB2312" w:eastAsia="仿宋_GB2312" w:cs="仿宋_GB2312"/>
          <w:color w:val="000000"/>
          <w:spacing w:val="0"/>
          <w:w w:val="100"/>
          <w:kern w:val="0"/>
          <w:position w:val="0"/>
          <w:sz w:val="32"/>
          <w:szCs w:val="32"/>
          <w:u w:val="none"/>
          <w:shd w:val="clear" w:color="auto" w:fill="auto"/>
          <w:lang w:val="en-US" w:eastAsia="zh-CN" w:bidi="en-US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kern w:val="0"/>
          <w:position w:val="0"/>
          <w:sz w:val="32"/>
          <w:szCs w:val="32"/>
          <w:u w:val="none"/>
          <w:shd w:val="clear" w:color="auto" w:fill="auto"/>
          <w:lang w:val="en-US" w:eastAsia="zh-CN" w:bidi="en-US"/>
        </w:rPr>
        <w:t>附件1：</w:t>
      </w:r>
    </w:p>
    <w:p>
      <w:pPr>
        <w:keepNext w:val="0"/>
        <w:keepLines w:val="0"/>
        <w:pageBreakBefore w:val="0"/>
        <w:widowControl w:val="0"/>
        <w:tabs>
          <w:tab w:val="left" w:pos="158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tabs>
          <w:tab w:val="left" w:pos="158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-4"/>
          <w:w w:val="100"/>
          <w:kern w:val="2"/>
          <w:position w:val="0"/>
          <w:sz w:val="44"/>
          <w:szCs w:val="44"/>
          <w:highlight w:val="none"/>
          <w:shd w:val="clear"/>
          <w:lang w:eastAsia="zh-CN" w:bidi="ar-SA"/>
        </w:rPr>
      </w:pPr>
    </w:p>
    <w:p>
      <w:pPr>
        <w:keepNext w:val="0"/>
        <w:keepLines w:val="0"/>
        <w:pageBreakBefore w:val="0"/>
        <w:widowControl w:val="0"/>
        <w:tabs>
          <w:tab w:val="left" w:pos="158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-4"/>
          <w:w w:val="100"/>
          <w:kern w:val="2"/>
          <w:position w:val="0"/>
          <w:sz w:val="44"/>
          <w:szCs w:val="44"/>
          <w:highlight w:val="none"/>
          <w:shd w:val="clear"/>
          <w:lang w:eastAsia="zh-CN" w:bidi="ar-SA"/>
        </w:rPr>
      </w:pPr>
      <w:r>
        <w:rPr>
          <w:rFonts w:hint="eastAsia" w:ascii="方正小标宋简体" w:hAnsi="方正小标宋简体" w:eastAsia="方正小标宋简体" w:cs="方正小标宋简体"/>
          <w:spacing w:val="-4"/>
          <w:w w:val="100"/>
          <w:kern w:val="2"/>
          <w:position w:val="0"/>
          <w:sz w:val="44"/>
          <w:szCs w:val="44"/>
          <w:highlight w:val="none"/>
          <w:shd w:val="clear"/>
          <w:lang w:eastAsia="zh-CN" w:bidi="ar-SA"/>
        </w:rPr>
        <w:t>姑苏区区级科学技术普及专项资金管理办法</w:t>
      </w:r>
    </w:p>
    <w:p>
      <w:pPr>
        <w:keepNext w:val="0"/>
        <w:keepLines w:val="0"/>
        <w:pageBreakBefore w:val="0"/>
        <w:widowControl w:val="0"/>
        <w:tabs>
          <w:tab w:val="left" w:pos="158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jc w:val="center"/>
        <w:textAlignment w:val="auto"/>
        <w:rPr>
          <w:rFonts w:hint="eastAsia" w:ascii="黑体" w:hAnsi="黑体" w:eastAsia="黑体" w:cs="黑体"/>
          <w:spacing w:val="-4"/>
          <w:w w:val="100"/>
          <w:kern w:val="2"/>
          <w:position w:val="0"/>
          <w:sz w:val="44"/>
          <w:szCs w:val="44"/>
          <w:highlight w:val="none"/>
          <w:shd w:val="clear"/>
          <w:lang w:eastAsia="zh-CN" w:bidi="ar-SA"/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158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jc w:val="center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eastAsia="zh-CN"/>
        </w:rPr>
        <w:t>（征求意见稿）</w:t>
      </w:r>
    </w:p>
    <w:p>
      <w:pPr>
        <w:keepNext w:val="0"/>
        <w:keepLines w:val="0"/>
        <w:pageBreakBefore w:val="0"/>
        <w:widowControl w:val="0"/>
        <w:shd w:val="clear"/>
        <w:tabs>
          <w:tab w:val="left" w:pos="158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361" w:beforeLines="100" w:beforeAutospacing="0" w:after="361" w:afterLines="100" w:afterAutospacing="0" w:line="500" w:lineRule="exact"/>
        <w:ind w:left="0" w:right="0" w:firstLine="0"/>
        <w:jc w:val="center"/>
        <w:textAlignment w:val="auto"/>
        <w:rPr>
          <w:rFonts w:hint="eastAsia" w:ascii="黑体" w:hAnsi="黑体" w:eastAsia="黑体" w:cs="黑体"/>
          <w:b/>
          <w:bCs/>
          <w:spacing w:val="-4"/>
          <w:w w:val="100"/>
          <w:kern w:val="2"/>
          <w:position w:val="0"/>
          <w:sz w:val="32"/>
          <w:szCs w:val="32"/>
          <w:highlight w:val="none"/>
          <w:shd w:val="clear"/>
          <w:lang w:eastAsia="zh-CN" w:bidi="ar-SA"/>
        </w:rPr>
      </w:pPr>
      <w:r>
        <w:rPr>
          <w:rFonts w:hint="eastAsia" w:ascii="黑体" w:hAnsi="黑体" w:eastAsia="黑体" w:cs="黑体"/>
          <w:b w:val="0"/>
          <w:bCs w:val="0"/>
          <w:spacing w:val="-4"/>
          <w:w w:val="100"/>
          <w:kern w:val="2"/>
          <w:position w:val="0"/>
          <w:sz w:val="32"/>
          <w:szCs w:val="32"/>
          <w:highlight w:val="none"/>
          <w:shd w:val="clear"/>
          <w:lang w:eastAsia="zh-CN" w:bidi="ar-SA"/>
        </w:rPr>
        <w:t>第一章　总　则</w:t>
      </w:r>
    </w:p>
    <w:p>
      <w:pPr>
        <w:keepNext w:val="0"/>
        <w:keepLines w:val="0"/>
        <w:pageBreakBefore w:val="0"/>
        <w:widowControl w:val="0"/>
        <w:tabs>
          <w:tab w:val="left" w:pos="158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640" w:firstLineChars="200"/>
        <w:jc w:val="both"/>
        <w:textAlignment w:val="auto"/>
        <w:rPr>
          <w:rFonts w:hint="eastAsia" w:ascii="仿宋_GB2312" w:eastAsia="仿宋_GB2312"/>
          <w:spacing w:val="-4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</w:rPr>
        <w:t>第一条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　</w:t>
      </w:r>
      <w:r>
        <w:rPr>
          <w:rFonts w:hint="eastAsia" w:ascii="仿宋_GB2312" w:hAnsi="仿宋_GB2312" w:eastAsia="仿宋_GB2312" w:cs="仿宋_GB2312"/>
          <w:spacing w:val="-4"/>
          <w:w w:val="100"/>
          <w:kern w:val="2"/>
          <w:position w:val="0"/>
          <w:sz w:val="32"/>
          <w:szCs w:val="32"/>
          <w:highlight w:val="none"/>
          <w:shd w:val="clear"/>
          <w:lang w:eastAsia="zh-CN" w:bidi="ar-SA"/>
        </w:rPr>
        <w:t>为了规范姑苏区区级科学技术普及专项资金的管理和使用，提高公共财政资金使用效益，根据《中华人民共和国预算法》、</w:t>
      </w:r>
      <w:r>
        <w:rPr>
          <w:rFonts w:hint="eastAsia" w:ascii="仿宋_GB2312" w:eastAsia="仿宋_GB2312"/>
          <w:spacing w:val="-4"/>
          <w:sz w:val="32"/>
          <w:szCs w:val="32"/>
        </w:rPr>
        <w:t>《</w:t>
      </w:r>
      <w:r>
        <w:rPr>
          <w:rFonts w:hint="eastAsia" w:ascii="仿宋_GB2312" w:eastAsia="仿宋_GB2312"/>
          <w:spacing w:val="-4"/>
          <w:sz w:val="32"/>
          <w:szCs w:val="32"/>
          <w:lang w:eastAsia="zh-CN"/>
        </w:rPr>
        <w:t>苏州市市级科学技术普及专项</w:t>
      </w:r>
      <w:r>
        <w:rPr>
          <w:rFonts w:hint="eastAsia" w:ascii="仿宋_GB2312" w:eastAsia="仿宋_GB2312"/>
          <w:spacing w:val="-4"/>
          <w:sz w:val="32"/>
          <w:szCs w:val="32"/>
        </w:rPr>
        <w:t>资金管理办法》、《</w:t>
      </w:r>
      <w:r>
        <w:rPr>
          <w:rFonts w:hint="eastAsia" w:ascii="仿宋_GB2312" w:eastAsia="仿宋_GB2312"/>
          <w:spacing w:val="-4"/>
          <w:sz w:val="32"/>
          <w:szCs w:val="32"/>
          <w:lang w:eastAsia="zh-CN"/>
        </w:rPr>
        <w:t>姑苏区区</w:t>
      </w:r>
      <w:r>
        <w:rPr>
          <w:rFonts w:hint="eastAsia" w:ascii="仿宋_GB2312" w:eastAsia="仿宋_GB2312"/>
          <w:spacing w:val="-4"/>
          <w:sz w:val="32"/>
          <w:szCs w:val="32"/>
        </w:rPr>
        <w:t>级财政专项资金管理办法》</w:t>
      </w:r>
      <w:r>
        <w:rPr>
          <w:rFonts w:hint="eastAsia" w:ascii="仿宋_GB2312" w:eastAsia="仿宋_GB2312"/>
          <w:spacing w:val="-4"/>
          <w:sz w:val="32"/>
          <w:szCs w:val="32"/>
          <w:lang w:eastAsia="zh-CN"/>
        </w:rPr>
        <w:t>等有关规定</w:t>
      </w:r>
      <w:r>
        <w:rPr>
          <w:rFonts w:hint="eastAsia" w:ascii="仿宋_GB2312" w:eastAsia="仿宋_GB2312"/>
          <w:spacing w:val="-4"/>
          <w:sz w:val="32"/>
          <w:szCs w:val="32"/>
        </w:rPr>
        <w:t>，结合本区实际，制定本办法。</w:t>
      </w:r>
    </w:p>
    <w:p>
      <w:pPr>
        <w:keepNext w:val="0"/>
        <w:keepLines w:val="0"/>
        <w:pageBreakBefore w:val="0"/>
        <w:widowControl w:val="0"/>
        <w:tabs>
          <w:tab w:val="left" w:pos="158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</w:rPr>
        <w:t>第二条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　本办法所称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姑苏区区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级科学技术普及专项资金（以下简称“科普资金”）是指经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区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政府批准设立，纳入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区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级财政一般公共预算，专项用于支持和促进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姑苏区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科学技术普及事业发展的资金。</w:t>
      </w:r>
    </w:p>
    <w:p>
      <w:pPr>
        <w:keepNext w:val="0"/>
        <w:keepLines w:val="0"/>
        <w:pageBreakBefore w:val="0"/>
        <w:widowControl w:val="0"/>
        <w:tabs>
          <w:tab w:val="left" w:pos="158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</w:rPr>
        <w:t>第三条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　科普资金的使用和管理适用于本办法。</w:t>
      </w:r>
    </w:p>
    <w:p>
      <w:pPr>
        <w:keepNext w:val="0"/>
        <w:keepLines w:val="0"/>
        <w:pageBreakBefore w:val="0"/>
        <w:widowControl w:val="0"/>
        <w:tabs>
          <w:tab w:val="left" w:pos="158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</w:rPr>
        <w:t>第四条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　科普资金的使用和管理必须符合相关政策规定，遵循“突出重点、择优扶持、公开透明、规范运行、严格监管、绩效管理”的原则。</w:t>
      </w:r>
    </w:p>
    <w:p>
      <w:pPr>
        <w:keepNext w:val="0"/>
        <w:keepLines w:val="0"/>
        <w:pageBreakBefore w:val="0"/>
        <w:widowControl w:val="0"/>
        <w:tabs>
          <w:tab w:val="left" w:pos="158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158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2570" w:firstLineChars="800"/>
        <w:jc w:val="both"/>
        <w:textAlignment w:val="auto"/>
        <w:rPr>
          <w:rFonts w:hint="eastAsia" w:ascii="黑体" w:hAnsi="黑体" w:eastAsia="黑体" w:cs="黑体"/>
          <w:b/>
          <w:bCs/>
          <w:sz w:val="32"/>
          <w:szCs w:val="32"/>
          <w:highlight w:val="none"/>
          <w:lang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highlight w:val="none"/>
          <w:lang w:eastAsia="zh-CN"/>
        </w:rPr>
        <w:t>第二章　</w:t>
      </w:r>
      <w:r>
        <w:rPr>
          <w:rFonts w:hint="eastAsia" w:ascii="黑体" w:hAnsi="黑体" w:eastAsia="黑体" w:cs="黑体"/>
          <w:b/>
          <w:bCs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黑体" w:hAnsi="黑体" w:eastAsia="黑体" w:cs="黑体"/>
          <w:b/>
          <w:bCs/>
          <w:sz w:val="32"/>
          <w:szCs w:val="32"/>
          <w:highlight w:val="none"/>
          <w:lang w:eastAsia="zh-CN"/>
        </w:rPr>
        <w:t>管理职责</w:t>
      </w:r>
    </w:p>
    <w:p>
      <w:pPr>
        <w:keepNext w:val="0"/>
        <w:keepLines w:val="0"/>
        <w:pageBreakBefore w:val="0"/>
        <w:widowControl w:val="0"/>
        <w:tabs>
          <w:tab w:val="left" w:pos="158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643" w:firstLineChars="200"/>
        <w:jc w:val="both"/>
        <w:textAlignment w:val="auto"/>
        <w:rPr>
          <w:rFonts w:hint="eastAsia" w:ascii="黑体" w:hAnsi="黑体" w:eastAsia="黑体" w:cs="黑体"/>
          <w:b/>
          <w:bCs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tabs>
          <w:tab w:val="left" w:pos="158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</w:rPr>
        <w:t>第五条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　科普资金由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姑苏区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财政局（以下简称“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区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财政局”）、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姑苏区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科学技术协会（以下简称“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区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科协”）共同管理，</w:t>
      </w:r>
      <w:r>
        <w:rPr>
          <w:rFonts w:hint="eastAsia" w:ascii="仿宋_GB2312" w:eastAsia="仿宋_GB2312"/>
          <w:spacing w:val="-4"/>
          <w:sz w:val="32"/>
          <w:szCs w:val="32"/>
        </w:rPr>
        <w:t>项目实施单位按职责分工负责</w:t>
      </w:r>
      <w:r>
        <w:rPr>
          <w:rFonts w:hint="eastAsia" w:ascii="仿宋_GB2312" w:eastAsia="仿宋_GB2312"/>
          <w:spacing w:val="-4"/>
          <w:sz w:val="32"/>
          <w:szCs w:val="32"/>
          <w:lang w:eastAsia="zh-CN"/>
        </w:rPr>
        <w:t>科普</w:t>
      </w:r>
      <w:r>
        <w:rPr>
          <w:rFonts w:hint="eastAsia" w:ascii="仿宋_GB2312" w:eastAsia="仿宋_GB2312"/>
          <w:spacing w:val="-4"/>
          <w:sz w:val="32"/>
          <w:szCs w:val="32"/>
        </w:rPr>
        <w:t>资金管理工作。</w:t>
      </w:r>
    </w:p>
    <w:p>
      <w:pPr>
        <w:keepNext w:val="0"/>
        <w:keepLines w:val="0"/>
        <w:pageBreakBefore w:val="0"/>
        <w:widowControl w:val="0"/>
        <w:tabs>
          <w:tab w:val="left" w:pos="158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lang w:eastAsia="zh-CN"/>
        </w:rPr>
        <w:t>第六条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　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区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财政局应当履行下列管理职责：</w:t>
      </w:r>
    </w:p>
    <w:p>
      <w:pPr>
        <w:keepNext w:val="0"/>
        <w:keepLines w:val="0"/>
        <w:pageBreakBefore w:val="0"/>
        <w:widowControl w:val="0"/>
        <w:tabs>
          <w:tab w:val="left" w:pos="158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负责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科普资金的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管理和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政策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研究制定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，会同区科协建立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健全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科普资金管理办法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；</w:t>
      </w:r>
    </w:p>
    <w:p>
      <w:pPr>
        <w:keepNext w:val="0"/>
        <w:keepLines w:val="0"/>
        <w:pageBreakBefore w:val="0"/>
        <w:widowControl w:val="0"/>
        <w:tabs>
          <w:tab w:val="left" w:pos="158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.组织科普资金支出预算的编制、审核和执行，根据有关要求会同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区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科协下达资金预算，并按规定批复科普资金决算；</w:t>
      </w:r>
    </w:p>
    <w:p>
      <w:pPr>
        <w:keepNext w:val="0"/>
        <w:keepLines w:val="0"/>
        <w:pageBreakBefore w:val="0"/>
        <w:widowControl w:val="0"/>
        <w:tabs>
          <w:tab w:val="left" w:pos="158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.会同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区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科协对科普资金进行绩效管理，对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区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科协提交的绩效报告进行审核和组织评价；</w:t>
      </w:r>
    </w:p>
    <w:p>
      <w:pPr>
        <w:keepNext w:val="0"/>
        <w:keepLines w:val="0"/>
        <w:pageBreakBefore w:val="0"/>
        <w:widowControl w:val="0"/>
        <w:tabs>
          <w:tab w:val="left" w:pos="158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.对科普资金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政策执行情况进行监督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；</w:t>
      </w:r>
    </w:p>
    <w:p>
      <w:pPr>
        <w:keepNext w:val="0"/>
        <w:keepLines w:val="0"/>
        <w:pageBreakBefore w:val="0"/>
        <w:widowControl w:val="0"/>
        <w:tabs>
          <w:tab w:val="left" w:pos="158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.监督科普资金信息公开工作；</w:t>
      </w:r>
    </w:p>
    <w:p>
      <w:pPr>
        <w:keepNext w:val="0"/>
        <w:keepLines w:val="0"/>
        <w:pageBreakBefore w:val="0"/>
        <w:widowControl w:val="0"/>
        <w:tabs>
          <w:tab w:val="left" w:pos="158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6.组织科普资金执行期届满或被撤销后的清算、资金收回以及其他相关管理工作；</w:t>
      </w:r>
    </w:p>
    <w:p>
      <w:pPr>
        <w:keepNext w:val="0"/>
        <w:keepLines w:val="0"/>
        <w:pageBreakBefore w:val="0"/>
        <w:widowControl w:val="0"/>
        <w:tabs>
          <w:tab w:val="left" w:pos="158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7.法律、法规、规章规定的其他职责。</w:t>
      </w:r>
    </w:p>
    <w:p>
      <w:pPr>
        <w:keepNext w:val="0"/>
        <w:keepLines w:val="0"/>
        <w:pageBreakBefore w:val="0"/>
        <w:widowControl w:val="0"/>
        <w:tabs>
          <w:tab w:val="left" w:pos="158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lang w:eastAsia="zh-CN"/>
        </w:rPr>
        <w:t>第七条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　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区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科协应当履行下列管理职责：</w:t>
      </w:r>
    </w:p>
    <w:p>
      <w:pPr>
        <w:keepNext w:val="0"/>
        <w:keepLines w:val="0"/>
        <w:pageBreakBefore w:val="0"/>
        <w:widowControl w:val="0"/>
        <w:tabs>
          <w:tab w:val="left" w:pos="158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1.配合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区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财政局制定和修订科普资金管理办法；</w:t>
      </w:r>
    </w:p>
    <w:p>
      <w:pPr>
        <w:keepNext w:val="0"/>
        <w:keepLines w:val="0"/>
        <w:pageBreakBefore w:val="0"/>
        <w:widowControl w:val="0"/>
        <w:tabs>
          <w:tab w:val="left" w:pos="158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2.研究制定和健全科普资金相关政策、具体管理制度，发布年度科普资金申报指南；</w:t>
      </w:r>
    </w:p>
    <w:p>
      <w:pPr>
        <w:keepNext w:val="0"/>
        <w:keepLines w:val="0"/>
        <w:pageBreakBefore w:val="0"/>
        <w:widowControl w:val="0"/>
        <w:tabs>
          <w:tab w:val="left" w:pos="158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3.编制科普资金支出预算建议数，执行已批复的科普资金预算，保障科普资金预算执行进度；</w:t>
      </w:r>
    </w:p>
    <w:p>
      <w:pPr>
        <w:keepNext w:val="0"/>
        <w:keepLines w:val="0"/>
        <w:pageBreakBefore w:val="0"/>
        <w:widowControl w:val="0"/>
        <w:tabs>
          <w:tab w:val="left" w:pos="158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4.受理相关单位的科普资金使用申请，组织项目申报，对项目申报信息进行信用审查，审定科普资金申报材料并组织项目验收；</w:t>
      </w:r>
    </w:p>
    <w:p>
      <w:pPr>
        <w:keepNext w:val="0"/>
        <w:keepLines w:val="0"/>
        <w:pageBreakBefore w:val="0"/>
        <w:widowControl w:val="0"/>
        <w:tabs>
          <w:tab w:val="left" w:pos="158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5.负责编制科普资金绩效目标，按照绩效管理要求对科普资金实施绩效评价；</w:t>
      </w:r>
    </w:p>
    <w:p>
      <w:pPr>
        <w:keepNext w:val="0"/>
        <w:keepLines w:val="0"/>
        <w:pageBreakBefore w:val="0"/>
        <w:widowControl w:val="0"/>
        <w:tabs>
          <w:tab w:val="left" w:pos="158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6.对科普资金进行财务管理和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专项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核算，监督科普资金支出项目的实施情况，按规定向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区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财政局报送科普资金使用情况；</w:t>
      </w:r>
    </w:p>
    <w:p>
      <w:pPr>
        <w:keepNext w:val="0"/>
        <w:keepLines w:val="0"/>
        <w:pageBreakBefore w:val="0"/>
        <w:widowControl w:val="0"/>
        <w:tabs>
          <w:tab w:val="left" w:pos="158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7.按按政府信息公开要求进行科普资金信息公开工作；</w:t>
      </w:r>
    </w:p>
    <w:p>
      <w:pPr>
        <w:keepNext w:val="0"/>
        <w:keepLines w:val="0"/>
        <w:pageBreakBefore w:val="0"/>
        <w:widowControl w:val="0"/>
        <w:tabs>
          <w:tab w:val="left" w:pos="158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8.负责科普资金执行期届满或被撤销后的相关管理工作；</w:t>
      </w:r>
    </w:p>
    <w:p>
      <w:pPr>
        <w:keepNext w:val="0"/>
        <w:keepLines w:val="0"/>
        <w:pageBreakBefore w:val="0"/>
        <w:widowControl w:val="0"/>
        <w:tabs>
          <w:tab w:val="left" w:pos="158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.法律、法规、规章规定的其他职责。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lang w:eastAsia="zh-CN"/>
        </w:rPr>
        <w:t>第八条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　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科普资金使用单位或个人负责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项目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的具体实施，并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承担以下责任和义务：</w:t>
      </w:r>
    </w:p>
    <w:p>
      <w:pPr>
        <w:keepNext w:val="0"/>
        <w:keepLines w:val="0"/>
        <w:pageBreakBefore w:val="0"/>
        <w:widowControl w:val="0"/>
        <w:tabs>
          <w:tab w:val="left" w:pos="158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1.根据年度项目申报指南和相关规定申报项目；</w:t>
      </w:r>
    </w:p>
    <w:p>
      <w:pPr>
        <w:keepNext w:val="0"/>
        <w:keepLines w:val="0"/>
        <w:pageBreakBefore w:val="0"/>
        <w:widowControl w:val="0"/>
        <w:tabs>
          <w:tab w:val="left" w:pos="158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2.组织项目实施，在实施过程中依据相关项目管理制度和法律法规，负责对项目的日常监管；</w:t>
      </w:r>
    </w:p>
    <w:p>
      <w:pPr>
        <w:keepNext w:val="0"/>
        <w:keepLines w:val="0"/>
        <w:pageBreakBefore w:val="0"/>
        <w:widowControl w:val="0"/>
        <w:tabs>
          <w:tab w:val="left" w:pos="158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3.规范使用科普资金，按财务管理要求做好项目会计核算；</w:t>
      </w:r>
    </w:p>
    <w:p>
      <w:pPr>
        <w:keepNext w:val="0"/>
        <w:keepLines w:val="0"/>
        <w:pageBreakBefore w:val="0"/>
        <w:widowControl w:val="0"/>
        <w:tabs>
          <w:tab w:val="left" w:pos="158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4.项目实施完成后，向本级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业务主管部门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提交项目验收申请；</w:t>
      </w:r>
    </w:p>
    <w:p>
      <w:pPr>
        <w:keepNext w:val="0"/>
        <w:keepLines w:val="0"/>
        <w:pageBreakBefore w:val="0"/>
        <w:widowControl w:val="0"/>
        <w:tabs>
          <w:tab w:val="left" w:pos="158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5.自觉接受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相关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部门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对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资助项目的考核验收、监督检查及项目资金清算等工作，按要求提供相关资料；</w:t>
      </w:r>
    </w:p>
    <w:p>
      <w:pPr>
        <w:keepNext w:val="0"/>
        <w:keepLines w:val="0"/>
        <w:pageBreakBefore w:val="0"/>
        <w:widowControl w:val="0"/>
        <w:tabs>
          <w:tab w:val="left" w:pos="158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6.对项目的质量负责，配合科协、财政部门做好项目绩效评价；</w:t>
      </w:r>
    </w:p>
    <w:p>
      <w:pPr>
        <w:keepNext w:val="0"/>
        <w:keepLines w:val="0"/>
        <w:pageBreakBefore w:val="0"/>
        <w:widowControl w:val="0"/>
        <w:tabs>
          <w:tab w:val="left" w:pos="158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7.落实科普资金申报信用承诺制，确保各环节提供资料的真实性、有效性、合法性、完整性；</w:t>
      </w:r>
    </w:p>
    <w:p>
      <w:pPr>
        <w:keepNext w:val="0"/>
        <w:keepLines w:val="0"/>
        <w:pageBreakBefore w:val="0"/>
        <w:widowControl w:val="0"/>
        <w:tabs>
          <w:tab w:val="left" w:pos="158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8.法律、法规、规章规定的其他职责。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158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361" w:beforeLines="100" w:beforeAutospacing="0" w:after="361" w:afterLines="100" w:afterAutospacing="0" w:line="500" w:lineRule="exact"/>
        <w:ind w:left="0" w:right="0" w:firstLine="0"/>
        <w:jc w:val="center"/>
        <w:textAlignment w:val="auto"/>
        <w:rPr>
          <w:rFonts w:hint="eastAsia" w:ascii="楷体" w:hAnsi="楷体" w:eastAsia="楷体" w:cs="楷体"/>
          <w:b/>
          <w:bCs/>
          <w:spacing w:val="-4"/>
          <w:w w:val="100"/>
          <w:kern w:val="2"/>
          <w:position w:val="0"/>
          <w:sz w:val="32"/>
          <w:szCs w:val="32"/>
          <w:highlight w:val="none"/>
          <w:shd w:val="clear"/>
          <w:lang w:eastAsia="zh-CN" w:bidi="ar-SA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highlight w:val="none"/>
          <w:lang w:eastAsia="zh-CN"/>
        </w:rPr>
        <w:t>第三章　</w:t>
      </w:r>
      <w:r>
        <w:rPr>
          <w:rFonts w:hint="eastAsia" w:ascii="黑体" w:hAnsi="黑体" w:eastAsia="黑体" w:cs="黑体"/>
          <w:b/>
          <w:bCs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黑体" w:hAnsi="黑体" w:eastAsia="黑体" w:cs="黑体"/>
          <w:b/>
          <w:bCs/>
          <w:sz w:val="32"/>
          <w:szCs w:val="32"/>
          <w:highlight w:val="none"/>
          <w:lang w:eastAsia="zh-CN"/>
        </w:rPr>
        <w:t>支持方式和范围</w:t>
      </w:r>
    </w:p>
    <w:p>
      <w:pPr>
        <w:keepNext w:val="0"/>
        <w:keepLines w:val="0"/>
        <w:pageBreakBefore w:val="0"/>
        <w:widowControl w:val="0"/>
        <w:tabs>
          <w:tab w:val="left" w:pos="158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lang w:eastAsia="zh-CN"/>
        </w:rPr>
        <w:t>第九条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　科普资金实行项目化管理、类别化支持，主要分为资助引导、补助奖励、政府购买服务等方式。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158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lang w:eastAsia="zh-CN"/>
        </w:rPr>
        <w:t>第十条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　科普资金主要用于支持符合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姑苏区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科普事业发展总体规划和相关政策，能够带动全民科学素质水平整体提高，增强自主创新能力，推动大众创业、万众创新，引领经济社会发展新常态，注入发展新动能的项目，主要包括：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158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（一）联系和服务科技工作者：围绕为科学技术工作者服务，开展“全国科技工作者日”系列活动、“苏州科学家日”系列活动；开展科技工作者状况调查、科技工作者宣传举荐、科技工作者评选表彰、科技工作者继续教育与培训、科技工作者之家建设；开展国际民间科技人才交流等；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158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yellow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（二）服务创新驱动发展战略：围绕先导产业搭建科技经济融合平台，聚焦全国学会和院士科学家等高端人才，助推会企合作，举办经常性的科学家与重点行业企业家对接交流活动，推动企业创新需求信息与科创中国绿平台互联互通、数据共享，深化“一核多元”格局建设离岸双创服务体系，打造“科创苏州”服务品牌；开展学术交流活动，促进产学研融合，加强科技社团等级评估和社团党建，助推科技社团能力提升等；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158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（三）服务公民科学素质提升：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围绕《全民科学素质行动计划纲要》提高重点人群的科学素质，深入开展科普宣传周、全国科普日、青少年科普等重大科普活动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资助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引导科普基础设施建设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、主题科普活动、科普资源和产品开发等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开展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“互联网+科普”的科普信息化建设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科普人才队伍建设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科普宣传与表彰等；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158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（四）服务党委政府科学决策：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围绕为党和政府科学决策服务，开展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高端科技创新智库建设、软科学课题研究、建言献策重点课题、科技工作者调查站点建设等；</w:t>
      </w:r>
    </w:p>
    <w:p>
      <w:pPr>
        <w:keepNext w:val="0"/>
        <w:keepLines w:val="0"/>
        <w:pageBreakBefore w:val="0"/>
        <w:widowControl w:val="0"/>
        <w:tabs>
          <w:tab w:val="left" w:pos="158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（五）国家、省、市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、区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政府确定的其他科学技术普及内容。</w:t>
      </w:r>
    </w:p>
    <w:p>
      <w:pPr>
        <w:keepNext w:val="0"/>
        <w:keepLines w:val="0"/>
        <w:pageBreakBefore w:val="0"/>
        <w:widowControl w:val="0"/>
        <w:tabs>
          <w:tab w:val="left" w:pos="158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lang w:eastAsia="zh-CN"/>
        </w:rPr>
        <w:t xml:space="preserve">第十一条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 xml:space="preserve"> 有下列情形的项目，科普资金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原则上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不予支持：</w:t>
      </w:r>
    </w:p>
    <w:p>
      <w:pPr>
        <w:keepNext w:val="0"/>
        <w:keepLines w:val="0"/>
        <w:pageBreakBefore w:val="0"/>
        <w:widowControl w:val="0"/>
        <w:tabs>
          <w:tab w:val="left" w:pos="158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1.知识产权、所有权、承办权等有争议的；</w:t>
      </w:r>
    </w:p>
    <w:p>
      <w:pPr>
        <w:keepNext w:val="0"/>
        <w:keepLines w:val="0"/>
        <w:pageBreakBefore w:val="0"/>
        <w:widowControl w:val="0"/>
        <w:tabs>
          <w:tab w:val="left" w:pos="158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2.经国家、省、市公共信用信息系统信用审查，项目单位存在严重失信行为的；</w:t>
      </w:r>
    </w:p>
    <w:p>
      <w:pPr>
        <w:keepNext w:val="0"/>
        <w:keepLines w:val="0"/>
        <w:pageBreakBefore w:val="0"/>
        <w:widowControl w:val="0"/>
        <w:tabs>
          <w:tab w:val="left" w:pos="158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申报单位未按要求提供财务资料，申报单位一年内甚至多年未实现营业收入的；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158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.同一主体同一项目已获得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区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级财政其他资金支持的；</w:t>
      </w:r>
    </w:p>
    <w:p>
      <w:pPr>
        <w:keepNext w:val="0"/>
        <w:keepLines w:val="0"/>
        <w:pageBreakBefore w:val="0"/>
        <w:widowControl w:val="0"/>
        <w:tabs>
          <w:tab w:val="left" w:pos="158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.其他不符合条件的项目。</w:t>
      </w:r>
    </w:p>
    <w:p>
      <w:pPr>
        <w:keepNext w:val="0"/>
        <w:keepLines w:val="0"/>
        <w:pageBreakBefore w:val="0"/>
        <w:widowControl w:val="0"/>
        <w:tabs>
          <w:tab w:val="left" w:pos="158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158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2891" w:firstLineChars="900"/>
        <w:jc w:val="both"/>
        <w:textAlignment w:val="auto"/>
        <w:rPr>
          <w:rFonts w:hint="eastAsia" w:ascii="黑体" w:hAnsi="黑体" w:eastAsia="黑体" w:cs="黑体"/>
          <w:b/>
          <w:bCs/>
          <w:sz w:val="32"/>
          <w:szCs w:val="32"/>
          <w:highlight w:val="none"/>
          <w:lang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highlight w:val="none"/>
          <w:lang w:eastAsia="zh-CN"/>
        </w:rPr>
        <w:t>第四章　</w:t>
      </w:r>
      <w:r>
        <w:rPr>
          <w:rFonts w:hint="eastAsia" w:ascii="黑体" w:hAnsi="黑体" w:eastAsia="黑体" w:cs="黑体"/>
          <w:b/>
          <w:bCs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黑体" w:hAnsi="黑体" w:eastAsia="黑体" w:cs="黑体"/>
          <w:b/>
          <w:bCs/>
          <w:sz w:val="32"/>
          <w:szCs w:val="32"/>
          <w:highlight w:val="none"/>
          <w:lang w:eastAsia="zh-CN"/>
        </w:rPr>
        <w:t>使用与执行</w:t>
      </w:r>
    </w:p>
    <w:p>
      <w:pPr>
        <w:keepNext w:val="0"/>
        <w:keepLines w:val="0"/>
        <w:pageBreakBefore w:val="0"/>
        <w:widowControl w:val="0"/>
        <w:tabs>
          <w:tab w:val="left" w:pos="158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643" w:firstLineChars="200"/>
        <w:jc w:val="both"/>
        <w:textAlignment w:val="auto"/>
        <w:rPr>
          <w:rFonts w:hint="eastAsia" w:ascii="黑体" w:hAnsi="黑体" w:eastAsia="黑体" w:cs="黑体"/>
          <w:b/>
          <w:bCs/>
          <w:sz w:val="32"/>
          <w:szCs w:val="32"/>
          <w:highlight w:val="none"/>
          <w:lang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158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lang w:eastAsia="zh-CN"/>
        </w:rPr>
        <w:t>第十二条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　科普资金纳入年度预算管理。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区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科协是科普资金预算编制和执行主体，应按照预算下达的科目和项目执行，不得截留、挤占、挪用或擅自调整。</w:t>
      </w:r>
    </w:p>
    <w:p>
      <w:pPr>
        <w:keepNext w:val="0"/>
        <w:keepLines w:val="0"/>
        <w:pageBreakBefore w:val="0"/>
        <w:widowControl w:val="0"/>
        <w:tabs>
          <w:tab w:val="left" w:pos="158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lang w:eastAsia="zh-CN"/>
        </w:rPr>
        <w:t>第十三条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　科普资金预算下达后，原则上不得调整。因国家政策调整等原因确需调整的，应由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区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科协向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区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财政局提出书面申请，说明调整事由、依据及调整金额，经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区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财政局审核并按规定报批后办理预算调整。</w:t>
      </w:r>
    </w:p>
    <w:p>
      <w:pPr>
        <w:keepNext w:val="0"/>
        <w:keepLines w:val="0"/>
        <w:pageBreakBefore w:val="0"/>
        <w:widowControl w:val="0"/>
        <w:tabs>
          <w:tab w:val="left" w:pos="158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lang w:eastAsia="zh-CN"/>
        </w:rPr>
        <w:t>第十四条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　科普资金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应当专款专用，量入为出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注重发挥引导和杠杆作用。</w:t>
      </w:r>
    </w:p>
    <w:p>
      <w:pPr>
        <w:keepNext w:val="0"/>
        <w:keepLines w:val="0"/>
        <w:pageBreakBefore w:val="0"/>
        <w:widowControl w:val="0"/>
        <w:tabs>
          <w:tab w:val="left" w:pos="158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lang w:eastAsia="zh-CN"/>
        </w:rPr>
        <w:t>第十五条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　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区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科协对申报项目信用、内容、范围、条件等进行实质性审查及评审，评审采用竞争性分配方式进行。</w:t>
      </w:r>
    </w:p>
    <w:p>
      <w:pPr>
        <w:keepNext w:val="0"/>
        <w:keepLines w:val="0"/>
        <w:pageBreakBefore w:val="0"/>
        <w:widowControl w:val="0"/>
        <w:tabs>
          <w:tab w:val="left" w:pos="158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lang w:eastAsia="zh-CN"/>
        </w:rPr>
        <w:t>第十六条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 xml:space="preserve">  评审结果经公示无异议，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区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财政局会同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区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科协下达专项资金项目计划，并按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姑苏区区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级财政国库管理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规定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下达资金。</w:t>
      </w:r>
    </w:p>
    <w:p>
      <w:pPr>
        <w:keepNext w:val="0"/>
        <w:keepLines w:val="0"/>
        <w:pageBreakBefore w:val="0"/>
        <w:widowControl w:val="0"/>
        <w:tabs>
          <w:tab w:val="left" w:pos="158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lang w:eastAsia="zh-CN"/>
        </w:rPr>
        <w:t>第十七条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　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未按照规定及时分配下达的科普资金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区财政局按照规定可以采取调整用途，收回资金等方式统筹使用，以提高资金使用效益。</w:t>
      </w:r>
    </w:p>
    <w:p>
      <w:pPr>
        <w:keepNext w:val="0"/>
        <w:keepLines w:val="0"/>
        <w:pageBreakBefore w:val="0"/>
        <w:widowControl w:val="0"/>
        <w:tabs>
          <w:tab w:val="left" w:pos="158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lang w:eastAsia="zh-CN"/>
        </w:rPr>
        <w:t>第十八条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　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财政部门应当及时清理盘活科普资金的结转结余资金，区级预算安排的科普资金当年无特殊原因仍未实施的，结余结转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1年以上的，收回区级预算。国家和省、市、区另有规定的除外。</w:t>
      </w:r>
    </w:p>
    <w:p>
      <w:pPr>
        <w:keepNext w:val="0"/>
        <w:keepLines w:val="0"/>
        <w:pageBreakBefore w:val="0"/>
        <w:widowControl w:val="0"/>
        <w:tabs>
          <w:tab w:val="left" w:pos="158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lang w:eastAsia="zh-CN"/>
        </w:rPr>
        <w:t>第十九条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　科普资金项目中，涉及政府投资的，按照政府投资项目管理的相关规定执行；涉及基本建设的，按照基本建设财务管理规定执行；涉及政府采购的，按照政府采购管理规定执行。</w:t>
      </w:r>
    </w:p>
    <w:p>
      <w:pPr>
        <w:keepNext w:val="0"/>
        <w:keepLines w:val="0"/>
        <w:pageBreakBefore w:val="0"/>
        <w:widowControl w:val="0"/>
        <w:tabs>
          <w:tab w:val="left" w:pos="158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lang w:eastAsia="zh-CN"/>
        </w:rPr>
        <w:t>第二十条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 xml:space="preserve">  科普资金按规定形成国有资产的，应当及时办理决算验收，进行产权、财产物资移交，办理登记入账手续，并按规定纳入单位资产管理。</w:t>
      </w:r>
    </w:p>
    <w:p>
      <w:pPr>
        <w:keepNext w:val="0"/>
        <w:keepLines w:val="0"/>
        <w:pageBreakBefore w:val="0"/>
        <w:widowControl w:val="0"/>
        <w:tabs>
          <w:tab w:val="left" w:pos="158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shd w:val="clear" w:color="auto" w:fill="auto"/>
        <w:tabs>
          <w:tab w:val="left" w:pos="158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643" w:firstLineChars="200"/>
        <w:jc w:val="center"/>
        <w:textAlignment w:val="auto"/>
        <w:rPr>
          <w:rFonts w:hint="eastAsia" w:ascii="黑体" w:hAnsi="黑体" w:eastAsia="黑体" w:cs="黑体"/>
          <w:b/>
          <w:bCs/>
          <w:sz w:val="32"/>
          <w:szCs w:val="32"/>
          <w:highlight w:val="none"/>
          <w:lang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黑体" w:hAnsi="黑体" w:eastAsia="黑体" w:cs="黑体"/>
          <w:b/>
          <w:bCs/>
          <w:sz w:val="32"/>
          <w:szCs w:val="32"/>
          <w:highlight w:val="none"/>
          <w:lang w:eastAsia="zh-CN"/>
        </w:rPr>
        <w:t>绩效管理和监督管理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tabs>
          <w:tab w:val="left" w:pos="158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Chars="200" w:right="0" w:rightChars="0"/>
        <w:jc w:val="both"/>
        <w:textAlignment w:val="auto"/>
        <w:rPr>
          <w:rFonts w:hint="eastAsia" w:ascii="黑体" w:hAnsi="黑体" w:eastAsia="黑体" w:cs="黑体"/>
          <w:b/>
          <w:bCs/>
          <w:sz w:val="32"/>
          <w:szCs w:val="32"/>
          <w:highlight w:val="none"/>
          <w:lang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158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lang w:eastAsia="zh-CN"/>
        </w:rPr>
        <w:t>第二十一条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 xml:space="preserve">  科普资金实施全过程预算绩效管理，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区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科协应在编制科普资金年度预算时，同步制定科普资金绩效目标，并报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区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财政局审核。在预算执行中，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区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科协应加强科普资金绩效监控，对绩效运行与既定目标发生偏离的，应及时采取措施予以纠正。对存在严重问题的项目，财政部门应及时调整、暂缓或停止预算拨款，预算完成后，由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区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科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协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进行绩效自评价，并报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区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财政局进行绩效再评价或重点评价，绩效评价的结果作为下一年度科普资金预算编制的重要依据。</w:t>
      </w:r>
    </w:p>
    <w:p>
      <w:pPr>
        <w:keepNext w:val="0"/>
        <w:keepLines w:val="0"/>
        <w:pageBreakBefore w:val="0"/>
        <w:widowControl w:val="0"/>
        <w:tabs>
          <w:tab w:val="left" w:pos="158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lang w:eastAsia="zh-CN"/>
        </w:rPr>
        <w:t>第二十二条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　区科协和财政部门要依据职责分工，加强科普资金项目实施和资金使用的监督检查，及时跟踪项目实际进度和资金使用情况，发现问题及时纠正，确保科普资金按规定使用。</w:t>
      </w:r>
    </w:p>
    <w:p>
      <w:pPr>
        <w:keepNext w:val="0"/>
        <w:keepLines w:val="0"/>
        <w:pageBreakBefore w:val="0"/>
        <w:widowControl w:val="0"/>
        <w:tabs>
          <w:tab w:val="left" w:pos="158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lang w:eastAsia="zh-CN"/>
        </w:rPr>
        <w:t>第二十三条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　使用科普资金的部门、单位及个人应遵守国家财政、财务规章制度和财经纪律，建立完善的财务管理制度，自觉接受财政、审计、监察等机关的监督检查。</w:t>
      </w:r>
    </w:p>
    <w:p>
      <w:pPr>
        <w:keepNext w:val="0"/>
        <w:keepLines w:val="0"/>
        <w:pageBreakBefore w:val="0"/>
        <w:widowControl w:val="0"/>
        <w:tabs>
          <w:tab w:val="left" w:pos="158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lang w:eastAsia="zh-CN"/>
        </w:rPr>
        <w:t>第二十四条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　对违反规定使用、骗取财政资金的行为，一经查实，收回资金，并依照《中华人民共和国预算法》《财政违法行为处罚处分条例》《江苏省财政监督条例》等给予处理和处罚，追究相关单位和个人的责任。</w:t>
      </w:r>
    </w:p>
    <w:p>
      <w:pPr>
        <w:keepNext w:val="0"/>
        <w:keepLines w:val="0"/>
        <w:pageBreakBefore w:val="0"/>
        <w:widowControl w:val="0"/>
        <w:tabs>
          <w:tab w:val="left" w:pos="158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lang w:eastAsia="zh-CN"/>
        </w:rPr>
        <w:t>第二十五条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　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党员干部和公职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人员在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科普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资金管理工作中有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违纪违法或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滥用职权、玩忽职守、徇私舞弊等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严重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职务违法犯罪的，移送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纪检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监察机关依法处置。</w:t>
      </w:r>
    </w:p>
    <w:p>
      <w:pPr>
        <w:keepNext w:val="0"/>
        <w:keepLines w:val="0"/>
        <w:pageBreakBefore w:val="0"/>
        <w:widowControl w:val="0"/>
        <w:tabs>
          <w:tab w:val="left" w:pos="158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tabs>
          <w:tab w:val="left" w:pos="1582"/>
          <w:tab w:val="left" w:pos="245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Chars="800" w:right="0" w:rightChars="0" w:firstLine="964" w:firstLineChars="300"/>
        <w:jc w:val="both"/>
        <w:textAlignment w:val="auto"/>
        <w:rPr>
          <w:rFonts w:hint="eastAsia" w:ascii="黑体" w:hAnsi="黑体" w:eastAsia="黑体" w:cs="黑体"/>
          <w:b/>
          <w:bCs/>
          <w:sz w:val="32"/>
          <w:szCs w:val="32"/>
          <w:highlight w:val="none"/>
          <w:lang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highlight w:val="none"/>
          <w:lang w:val="en-US" w:eastAsia="zh-CN"/>
        </w:rPr>
        <w:t>第六章</w:t>
      </w:r>
      <w:r>
        <w:rPr>
          <w:rFonts w:hint="eastAsia" w:ascii="黑体" w:hAnsi="黑体" w:eastAsia="黑体" w:cs="黑体"/>
          <w:b/>
          <w:bCs/>
          <w:sz w:val="32"/>
          <w:szCs w:val="32"/>
          <w:highlight w:val="none"/>
          <w:lang w:val="en-US" w:eastAsia="zh-CN"/>
        </w:rPr>
        <w:tab/>
      </w:r>
      <w:r>
        <w:rPr>
          <w:rFonts w:hint="eastAsia" w:ascii="黑体" w:hAnsi="黑体" w:eastAsia="黑体" w:cs="黑体"/>
          <w:b/>
          <w:bCs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黑体" w:hAnsi="黑体" w:eastAsia="黑体" w:cs="黑体"/>
          <w:b/>
          <w:bCs/>
          <w:sz w:val="32"/>
          <w:szCs w:val="32"/>
          <w:highlight w:val="none"/>
          <w:lang w:eastAsia="zh-CN"/>
        </w:rPr>
        <w:t>附　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tabs>
          <w:tab w:val="left" w:pos="158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Chars="800" w:right="0" w:rightChars="0"/>
        <w:jc w:val="both"/>
        <w:textAlignment w:val="auto"/>
        <w:rPr>
          <w:rFonts w:hint="eastAsia" w:ascii="黑体" w:hAnsi="黑体" w:eastAsia="黑体" w:cs="黑体"/>
          <w:b/>
          <w:bCs/>
          <w:sz w:val="32"/>
          <w:szCs w:val="32"/>
          <w:highlight w:val="none"/>
          <w:lang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158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lang w:eastAsia="zh-CN"/>
        </w:rPr>
        <w:t>第二十六条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　本办法由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区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财政局会同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区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科协负责解释。</w:t>
      </w:r>
    </w:p>
    <w:p>
      <w:pPr>
        <w:keepNext w:val="0"/>
        <w:keepLines w:val="0"/>
        <w:pageBreakBefore w:val="0"/>
        <w:widowControl w:val="0"/>
        <w:tabs>
          <w:tab w:val="left" w:pos="158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640" w:firstLineChars="200"/>
        <w:jc w:val="both"/>
        <w:textAlignment w:val="auto"/>
        <w:rPr>
          <w:rFonts w:hint="default" w:ascii="黑体" w:hAnsi="黑体" w:eastAsia="黑体" w:cs="黑体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lang w:eastAsia="zh-CN"/>
        </w:rPr>
        <w:t>第二十七条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" w:hAnsi="仿宋" w:eastAsia="仿宋" w:cs="Times New Roman"/>
          <w:color w:val="000000"/>
          <w:kern w:val="0"/>
          <w:sz w:val="32"/>
          <w:szCs w:val="32"/>
        </w:rPr>
        <w:t>科普项目管理由</w:t>
      </w:r>
      <w:r>
        <w:rPr>
          <w:rFonts w:hint="eastAsia" w:ascii="仿宋" w:hAnsi="仿宋" w:eastAsia="仿宋" w:cs="Times New Roman"/>
          <w:color w:val="000000"/>
          <w:kern w:val="0"/>
          <w:sz w:val="32"/>
          <w:szCs w:val="32"/>
          <w:lang w:eastAsia="zh-CN"/>
        </w:rPr>
        <w:t>区</w:t>
      </w:r>
      <w:r>
        <w:rPr>
          <w:rFonts w:hint="eastAsia" w:ascii="仿宋" w:hAnsi="仿宋" w:eastAsia="仿宋" w:cs="Times New Roman"/>
          <w:color w:val="000000"/>
          <w:kern w:val="0"/>
          <w:sz w:val="32"/>
          <w:szCs w:val="32"/>
        </w:rPr>
        <w:t>科协另行制定科普项目管理办法。</w:t>
      </w:r>
    </w:p>
    <w:p>
      <w:pPr>
        <w:keepNext w:val="0"/>
        <w:keepLines w:val="0"/>
        <w:pageBreakBefore w:val="0"/>
        <w:widowControl w:val="0"/>
        <w:tabs>
          <w:tab w:val="left" w:pos="158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lang w:eastAsia="zh-CN"/>
        </w:rPr>
        <w:t>第二十八条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　本办法自202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月1日起实施。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有效期至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2026年12月31日。</w:t>
      </w:r>
    </w:p>
    <w:p>
      <w:pPr>
        <w:keepNext w:val="0"/>
        <w:keepLines w:val="0"/>
        <w:pageBreakBefore w:val="0"/>
        <w:widowControl w:val="0"/>
        <w:tabs>
          <w:tab w:val="left" w:pos="158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</w:p>
    <w:p>
      <w:pPr>
        <w:rPr>
          <w:rFonts w:hint="eastAsia" w:ascii="仿宋_GB2312" w:hAnsi="仿宋_GB2312" w:eastAsia="仿宋_GB2312" w:cs="仿宋_GB2312"/>
          <w:color w:val="000000"/>
          <w:spacing w:val="0"/>
          <w:w w:val="100"/>
          <w:kern w:val="0"/>
          <w:position w:val="0"/>
          <w:sz w:val="32"/>
          <w:szCs w:val="32"/>
          <w:u w:val="none"/>
          <w:shd w:val="clear" w:color="auto" w:fill="auto"/>
          <w:lang w:val="en-US" w:eastAsia="zh-CN" w:bidi="en-US"/>
        </w:rPr>
      </w:pPr>
    </w:p>
    <w:sectPr>
      <w:footerReference r:id="rId5" w:type="default"/>
      <w:footnotePr>
        <w:numFmt w:val="decimal"/>
      </w:footnotePr>
      <w:pgSz w:w="11900" w:h="16840"/>
      <w:pgMar w:top="1440" w:right="1800" w:bottom="1440" w:left="1800" w:header="1012" w:footer="942" w:gutter="0"/>
      <w:pgNumType w:start="1"/>
      <w:cols w:space="72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eastAsia="宋体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eastAsia="宋体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eastAsia="宋体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eastAsia="宋体"/>
                        <w:lang w:eastAsia="zh-CN"/>
                      </w:rPr>
                      <w:t>1</w:t>
                    </w:r>
                    <w:r>
                      <w:rPr>
                        <w:rFonts w:hint="eastAsia" w:eastAsia="宋体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961B0A1"/>
    <w:multiLevelType w:val="singleLevel"/>
    <w:tmpl w:val="0961B0A1"/>
    <w:lvl w:ilvl="0" w:tentative="0">
      <w:start w:val="5"/>
      <w:numFmt w:val="chineseCounting"/>
      <w:suff w:val="nothing"/>
      <w:lvlText w:val="第%1章　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707AA3"/>
    <w:rsid w:val="00516666"/>
    <w:rsid w:val="01937A1D"/>
    <w:rsid w:val="05BE6C97"/>
    <w:rsid w:val="0B081C30"/>
    <w:rsid w:val="0DC5038A"/>
    <w:rsid w:val="0FD34AE9"/>
    <w:rsid w:val="100C19DE"/>
    <w:rsid w:val="14D9070E"/>
    <w:rsid w:val="17DF6654"/>
    <w:rsid w:val="18C94901"/>
    <w:rsid w:val="19936C57"/>
    <w:rsid w:val="1A6A56FA"/>
    <w:rsid w:val="1AF41A42"/>
    <w:rsid w:val="1CEE19FB"/>
    <w:rsid w:val="23526BE4"/>
    <w:rsid w:val="23BA5333"/>
    <w:rsid w:val="24707AA3"/>
    <w:rsid w:val="24B65BF5"/>
    <w:rsid w:val="25B662B2"/>
    <w:rsid w:val="270E7D1F"/>
    <w:rsid w:val="2B0249D1"/>
    <w:rsid w:val="2B221677"/>
    <w:rsid w:val="2C5A01D7"/>
    <w:rsid w:val="2E0A5228"/>
    <w:rsid w:val="30C52E04"/>
    <w:rsid w:val="343521D8"/>
    <w:rsid w:val="36043F38"/>
    <w:rsid w:val="37DE2EB9"/>
    <w:rsid w:val="384233D7"/>
    <w:rsid w:val="39123610"/>
    <w:rsid w:val="39917C32"/>
    <w:rsid w:val="3A8D6130"/>
    <w:rsid w:val="3AF14F0A"/>
    <w:rsid w:val="3B317886"/>
    <w:rsid w:val="3C1E0E7B"/>
    <w:rsid w:val="3ED72FB7"/>
    <w:rsid w:val="4061140E"/>
    <w:rsid w:val="414F4215"/>
    <w:rsid w:val="42833E54"/>
    <w:rsid w:val="42BB06AF"/>
    <w:rsid w:val="437123F4"/>
    <w:rsid w:val="445C738B"/>
    <w:rsid w:val="45076425"/>
    <w:rsid w:val="464D0FA3"/>
    <w:rsid w:val="46E964A0"/>
    <w:rsid w:val="48552098"/>
    <w:rsid w:val="4C2356F2"/>
    <w:rsid w:val="50D2792F"/>
    <w:rsid w:val="55256A35"/>
    <w:rsid w:val="560A6162"/>
    <w:rsid w:val="56B634D4"/>
    <w:rsid w:val="57EC1286"/>
    <w:rsid w:val="583305B3"/>
    <w:rsid w:val="59896648"/>
    <w:rsid w:val="5AC43E40"/>
    <w:rsid w:val="5BBE7E91"/>
    <w:rsid w:val="5C5C61F1"/>
    <w:rsid w:val="5D7724C5"/>
    <w:rsid w:val="5E635508"/>
    <w:rsid w:val="5FD03CCF"/>
    <w:rsid w:val="60486D40"/>
    <w:rsid w:val="6061665F"/>
    <w:rsid w:val="6339250E"/>
    <w:rsid w:val="63F776B2"/>
    <w:rsid w:val="67162663"/>
    <w:rsid w:val="683F34A1"/>
    <w:rsid w:val="685F1C50"/>
    <w:rsid w:val="685F5111"/>
    <w:rsid w:val="69B178D2"/>
    <w:rsid w:val="69F73FF0"/>
    <w:rsid w:val="6A2D4CF1"/>
    <w:rsid w:val="6A837DBC"/>
    <w:rsid w:val="6C080CBF"/>
    <w:rsid w:val="6C386915"/>
    <w:rsid w:val="6D3778E4"/>
    <w:rsid w:val="6F442BF2"/>
    <w:rsid w:val="705E5AEE"/>
    <w:rsid w:val="7073238D"/>
    <w:rsid w:val="70DE0A2C"/>
    <w:rsid w:val="70FA2319"/>
    <w:rsid w:val="76093704"/>
    <w:rsid w:val="782745A5"/>
    <w:rsid w:val="7A134019"/>
    <w:rsid w:val="7B955543"/>
    <w:rsid w:val="7B9F0BC4"/>
    <w:rsid w:val="7BD96663"/>
    <w:rsid w:val="7C6739CB"/>
    <w:rsid w:val="7CB50CAA"/>
    <w:rsid w:val="7E187A3D"/>
    <w:rsid w:val="7E765E7D"/>
    <w:rsid w:val="7F4417BA"/>
    <w:rsid w:val="7FEE1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Body text|3"/>
    <w:basedOn w:val="1"/>
    <w:qFormat/>
    <w:uiPriority w:val="0"/>
    <w:pPr>
      <w:widowControl w:val="0"/>
      <w:shd w:val="clear" w:color="auto" w:fill="auto"/>
      <w:spacing w:after="580"/>
      <w:jc w:val="center"/>
    </w:pPr>
    <w:rPr>
      <w:rFonts w:ascii="宋体" w:hAnsi="宋体" w:eastAsia="宋体" w:cs="宋体"/>
      <w:sz w:val="34"/>
      <w:szCs w:val="34"/>
      <w:u w:val="none"/>
      <w:shd w:val="clear" w:color="auto" w:fill="auto"/>
      <w:lang w:val="zh-TW" w:eastAsia="zh-TW" w:bidi="zh-TW"/>
    </w:rPr>
  </w:style>
  <w:style w:type="paragraph" w:customStyle="1" w:styleId="8">
    <w:name w:val="Body text|1"/>
    <w:basedOn w:val="1"/>
    <w:qFormat/>
    <w:uiPriority w:val="0"/>
    <w:pPr>
      <w:widowControl w:val="0"/>
      <w:shd w:val="clear" w:color="auto" w:fill="auto"/>
      <w:spacing w:line="446" w:lineRule="auto"/>
      <w:ind w:firstLine="8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9">
    <w:name w:val="Body text|2"/>
    <w:basedOn w:val="1"/>
    <w:qFormat/>
    <w:uiPriority w:val="0"/>
    <w:pPr>
      <w:widowControl w:val="0"/>
      <w:shd w:val="clear" w:color="auto" w:fill="auto"/>
      <w:spacing w:after="260"/>
      <w:ind w:firstLine="410"/>
    </w:pPr>
    <w:rPr>
      <w:sz w:val="28"/>
      <w:szCs w:val="28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2020-09-03T04:11:00Z</dcterms:created>
  <dc:creator>XL居</dc:creator>
  <cp:lastModifiedBy>暂且缥缈</cp:lastModifiedBy>
  <cp:lastPrinted>2020-09-10T01:17:00Z</cp:lastPrinted>
  <dcterms:modified xsi:type="dcterms:W3CDTF">2021-11-02T06:42:51Z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917BE4B901364A06AD9F10CD78743103</vt:lpwstr>
  </property>
</Properties>
</file>