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10DC6">
      <w:pPr>
        <w:widowControl/>
        <w:spacing w:line="600" w:lineRule="exact"/>
        <w:jc w:val="distribute"/>
        <w:rPr>
          <w:rFonts w:ascii="方正小标宋简体" w:hAnsi="方正小标宋简体" w:eastAsia="方正小标宋简体" w:cs="方正小标宋简体"/>
          <w:color w:val="000000"/>
          <w:sz w:val="32"/>
          <w:szCs w:val="32"/>
        </w:rPr>
      </w:pPr>
      <w:r>
        <w:rPr>
          <w:rFonts w:hint="eastAsia" w:ascii="方正小标宋简体" w:hAnsi="方正小标宋简体" w:eastAsia="方正小标宋简体" w:cs="方正小标宋简体"/>
          <w:color w:val="000000"/>
          <w:sz w:val="44"/>
          <w:szCs w:val="44"/>
        </w:rPr>
        <w:t>苏州市姑苏区住房和建设委员会</w:t>
      </w:r>
    </w:p>
    <w:p w14:paraId="1AC5B8A0">
      <w:pPr>
        <w:widowControl/>
        <w:spacing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责</w:t>
      </w:r>
      <w:r>
        <w:rPr>
          <w:rFonts w:ascii="方正小标宋简体" w:hAnsi="方正小标宋简体" w:eastAsia="方正小标宋简体" w:cs="方正小标宋简体"/>
          <w:color w:val="000000"/>
          <w:sz w:val="44"/>
          <w:szCs w:val="44"/>
        </w:rPr>
        <w:t>令改正违法行为</w:t>
      </w:r>
      <w:r>
        <w:rPr>
          <w:rFonts w:hint="eastAsia" w:ascii="方正小标宋简体" w:hAnsi="方正小标宋简体" w:eastAsia="方正小标宋简体" w:cs="方正小标宋简体"/>
          <w:color w:val="000000"/>
          <w:sz w:val="44"/>
          <w:szCs w:val="44"/>
        </w:rPr>
        <w:t>决定书</w:t>
      </w:r>
    </w:p>
    <w:p w14:paraId="50BD2AD0">
      <w:pPr>
        <w:widowControl/>
        <w:spacing w:line="360" w:lineRule="auto"/>
        <w:jc w:val="center"/>
        <w:rPr>
          <w:rFonts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苏苏姑住建房改决〔2026〕3号</w:t>
      </w:r>
    </w:p>
    <w:p w14:paraId="2483CC7B">
      <w:pPr>
        <w:widowControl/>
        <w:snapToGrid w:val="0"/>
        <w:spacing w:line="36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lang w:val="en-US" w:eastAsia="zh-CN"/>
        </w:rPr>
        <w:t>唐树人</w:t>
      </w:r>
      <w:r>
        <w:rPr>
          <w:rFonts w:hint="eastAsia" w:ascii="仿宋_GB2312" w:hAnsi="仿宋_GB2312" w:eastAsia="仿宋_GB2312" w:cs="仿宋_GB2312"/>
          <w:color w:val="000000"/>
          <w:sz w:val="32"/>
          <w:szCs w:val="32"/>
        </w:rPr>
        <w:t xml:space="preserve">： </w:t>
      </w:r>
    </w:p>
    <w:p w14:paraId="15E605F3">
      <w:pPr>
        <w:autoSpaceDE/>
        <w:autoSpaceDN/>
        <w:snapToGrid w:val="0"/>
        <w:spacing w:line="360" w:lineRule="auto"/>
        <w:ind w:firstLine="640" w:firstLineChars="200"/>
        <w:rPr>
          <w:rFonts w:ascii="仿宋_GB2312" w:hAnsi="Calibri" w:eastAsia="仿宋_GB2312"/>
          <w:kern w:val="2"/>
          <w:sz w:val="32"/>
          <w:szCs w:val="32"/>
        </w:rPr>
      </w:pPr>
      <w:r>
        <w:rPr>
          <w:rFonts w:hint="eastAsia" w:ascii="仿宋_GB2312" w:hAnsi="Calibri" w:eastAsia="仿宋_GB2312"/>
          <w:kern w:val="2"/>
          <w:sz w:val="32"/>
          <w:szCs w:val="32"/>
        </w:rPr>
        <w:t>经查，你将</w:t>
      </w:r>
      <w:r>
        <w:rPr>
          <w:rFonts w:hint="eastAsia" w:ascii="仿宋_GB2312" w:hAnsi="Calibri" w:eastAsia="仿宋_GB2312"/>
          <w:kern w:val="2"/>
          <w:sz w:val="32"/>
          <w:szCs w:val="32"/>
          <w:u w:val="single"/>
        </w:rPr>
        <w:t>富仁坊65号（金鼎中心）南</w:t>
      </w:r>
      <w:r>
        <w:rPr>
          <w:rFonts w:hint="eastAsia" w:ascii="仿宋_GB2312" w:hAnsi="Calibri" w:eastAsia="仿宋_GB2312"/>
          <w:kern w:val="2"/>
          <w:sz w:val="32"/>
          <w:szCs w:val="32"/>
          <w:u w:val="single"/>
          <w:lang w:val="en-US" w:eastAsia="zh-CN"/>
        </w:rPr>
        <w:t>602</w:t>
      </w:r>
      <w:r>
        <w:rPr>
          <w:rFonts w:hint="eastAsia" w:ascii="仿宋_GB2312" w:hAnsi="Calibri" w:eastAsia="仿宋_GB2312"/>
          <w:kern w:val="2"/>
          <w:sz w:val="32"/>
          <w:szCs w:val="32"/>
          <w:u w:val="single"/>
        </w:rPr>
        <w:t>室没有防水要求的房间改为厨房间</w:t>
      </w:r>
      <w:r>
        <w:rPr>
          <w:rFonts w:hint="eastAsia" w:ascii="仿宋_GB2312" w:hAnsi="Calibri" w:eastAsia="仿宋_GB2312"/>
          <w:kern w:val="2"/>
          <w:sz w:val="32"/>
          <w:szCs w:val="32"/>
        </w:rPr>
        <w:t>的行为，违反</w:t>
      </w:r>
      <w:r>
        <w:rPr>
          <w:rFonts w:hint="eastAsia" w:ascii="仿宋_GB2312" w:hAnsi="Calibri" w:eastAsia="仿宋_GB2312"/>
          <w:kern w:val="2"/>
          <w:sz w:val="32"/>
          <w:szCs w:val="32"/>
          <w:lang w:val="en-US" w:eastAsia="zh-CN"/>
        </w:rPr>
        <w:t>了</w:t>
      </w:r>
      <w:r>
        <w:rPr>
          <w:rFonts w:hint="eastAsia" w:ascii="仿宋_GB2312" w:hAnsi="仿宋_GB2312" w:eastAsia="仿宋_GB2312" w:cs="仿宋_GB2312"/>
          <w:color w:val="000000"/>
          <w:sz w:val="32"/>
          <w:szCs w:val="32"/>
          <w:u w:val="single"/>
        </w:rPr>
        <w:t xml:space="preserve">《住宅室内装饰装修管理办法》第五条 住宅室内装饰装修活动，禁止将没有防水要求的房间或者阳台改为卫生间、厨房间 </w:t>
      </w:r>
      <w:r>
        <w:rPr>
          <w:rFonts w:hint="eastAsia" w:ascii="仿宋_GB2312" w:hAnsi="Calibri" w:eastAsia="仿宋_GB2312"/>
          <w:kern w:val="2"/>
          <w:sz w:val="32"/>
          <w:szCs w:val="32"/>
        </w:rPr>
        <w:t>的规定，依据</w:t>
      </w:r>
      <w:r>
        <w:rPr>
          <w:rFonts w:hint="eastAsia" w:ascii="仿宋_GB2312" w:hAnsi="仿宋_GB2312" w:eastAsia="仿宋_GB2312" w:cs="仿宋_GB2312"/>
          <w:color w:val="000000"/>
          <w:sz w:val="32"/>
          <w:szCs w:val="32"/>
          <w:u w:val="single"/>
        </w:rPr>
        <w:t>《住宅室内装饰装修管理办法》第三十八条</w:t>
      </w:r>
      <w:r>
        <w:rPr>
          <w:rFonts w:hint="eastAsia" w:ascii="仿宋_GB2312" w:hAnsi="Calibri" w:eastAsia="仿宋_GB2312"/>
          <w:kern w:val="2"/>
          <w:sz w:val="32"/>
          <w:szCs w:val="32"/>
        </w:rPr>
        <w:t>的规定，本机关现</w:t>
      </w:r>
      <w:r>
        <w:rPr>
          <w:rFonts w:hint="eastAsia" w:ascii="仿宋_GB2312" w:hAnsi="Calibri" w:eastAsia="仿宋_GB2312"/>
          <w:kern w:val="2"/>
          <w:sz w:val="32"/>
          <w:szCs w:val="32"/>
          <w:lang w:val="en-US" w:eastAsia="zh-CN"/>
        </w:rPr>
        <w:t>决定</w:t>
      </w:r>
      <w:r>
        <w:rPr>
          <w:rFonts w:hint="eastAsia" w:ascii="仿宋_GB2312" w:hAnsi="Calibri" w:eastAsia="仿宋_GB2312"/>
          <w:kern w:val="2"/>
          <w:sz w:val="32"/>
          <w:szCs w:val="32"/>
        </w:rPr>
        <w:t>责令你：</w:t>
      </w:r>
      <w:r>
        <w:rPr>
          <w:rFonts w:ascii="Calibri" w:hAnsi="Calibri"/>
          <w:kern w:val="2"/>
          <w:sz w:val="31"/>
          <w:szCs w:val="22"/>
        </w:rPr>
        <w:pict>
          <v:shape id="_x0000_s1026" o:spid="_x0000_s1026" o:spt="202" type="#_x0000_t202" style="position:absolute;left:0pt;margin-left:457.1pt;margin-top:154.3pt;height:128.25pt;width:36.25pt;z-index:251659264;mso-width-relative:page;mso-height-relative:page;" stroked="f" coordsize="21600,21600" o:gfxdata="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H2EAHHZ&#10;AAAACwEAAA8AAAAAAAAAAQAgAAAAIgAAAGRycy9kb3ducmV2LnhtbFBLAQIUABQAAAAIAIdO4kCf&#10;U9x+WAIAAJ8EAAAOAAAAAAAAAAEAIAAAACgBAABkcnMvZTJvRG9jLnhtbFBLBQYAAAAABgAGAFkB&#10;AADyBQAAAAA=&#10;">
            <v:path/>
            <v:fill focussize="0,0"/>
            <v:stroke on="f" weight="0.5pt" joinstyle="miter"/>
            <v:imagedata o:title=""/>
            <o:lock v:ext="edit"/>
            <v:textbox style="layout-flow:vertical-ideographic;">
              <w:txbxContent>
                <w:p w14:paraId="4AE6485C">
                  <w:pPr>
                    <w:autoSpaceDE/>
                    <w:autoSpaceDN/>
                    <w:adjustRightInd/>
                    <w:spacing w:line="288" w:lineRule="auto"/>
                    <w:jc w:val="distribute"/>
                    <w:rPr>
                      <w:rFonts w:ascii="Calibri" w:hAnsi="Calibri"/>
                      <w:kern w:val="2"/>
                      <w:sz w:val="22"/>
                      <w:szCs w:val="24"/>
                    </w:rPr>
                  </w:pPr>
                  <w:r>
                    <w:rPr>
                      <w:rFonts w:hint="eastAsia" w:ascii="Calibri" w:hAnsi="Calibri"/>
                      <w:kern w:val="2"/>
                      <w:sz w:val="22"/>
                      <w:szCs w:val="24"/>
                    </w:rPr>
                    <w:t>第一联  当事人留执</w:t>
                  </w:r>
                </w:p>
              </w:txbxContent>
            </v:textbox>
          </v:shape>
        </w:pict>
      </w:r>
    </w:p>
    <w:p w14:paraId="0EF8DDE8">
      <w:pPr>
        <w:autoSpaceDE/>
        <w:autoSpaceDN/>
        <w:snapToGrid w:val="0"/>
        <w:spacing w:line="360" w:lineRule="auto"/>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sym w:font="Wingdings 2" w:char="00A3"/>
      </w:r>
      <w:r>
        <w:rPr>
          <w:rFonts w:ascii="仿宋_GB2312" w:hAnsi="仿宋_GB2312" w:eastAsia="仿宋_GB2312" w:cs="仿宋_GB2312"/>
          <w:kern w:val="2"/>
          <w:sz w:val="32"/>
          <w:szCs w:val="32"/>
        </w:rPr>
        <w:t>立即停止上述行为。</w:t>
      </w:r>
    </w:p>
    <w:p w14:paraId="690C583D">
      <w:pPr>
        <w:autoSpaceDE/>
        <w:autoSpaceDN/>
        <w:snapToGrid w:val="0"/>
        <w:spacing w:line="360" w:lineRule="auto"/>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sym w:font="Wingdings 2" w:char="0052"/>
      </w:r>
      <w:r>
        <w:rPr>
          <w:rFonts w:ascii="仿宋_GB2312" w:hAnsi="仿宋_GB2312" w:eastAsia="仿宋_GB2312" w:cs="仿宋_GB2312"/>
          <w:kern w:val="2"/>
          <w:sz w:val="32"/>
          <w:szCs w:val="32"/>
        </w:rPr>
        <w:t>于</w:t>
      </w:r>
      <w:r>
        <w:rPr>
          <w:rFonts w:hint="eastAsia" w:ascii="仿宋_GB2312" w:hAnsi="仿宋_GB2312" w:eastAsia="仿宋_GB2312" w:cs="仿宋_GB2312"/>
          <w:kern w:val="2"/>
          <w:sz w:val="32"/>
          <w:szCs w:val="32"/>
          <w:u w:val="single"/>
        </w:rPr>
        <w:t>2026</w:t>
      </w:r>
      <w:r>
        <w:rPr>
          <w:rFonts w:ascii="仿宋_GB2312" w:hAnsi="仿宋_GB2312" w:eastAsia="仿宋_GB2312" w:cs="仿宋_GB2312"/>
          <w:kern w:val="2"/>
          <w:sz w:val="32"/>
          <w:szCs w:val="32"/>
        </w:rPr>
        <w:t>年</w:t>
      </w:r>
      <w:r>
        <w:rPr>
          <w:rFonts w:hint="eastAsia" w:ascii="仿宋_GB2312" w:hAnsi="仿宋_GB2312" w:eastAsia="仿宋_GB2312" w:cs="仿宋_GB2312"/>
          <w:kern w:val="2"/>
          <w:sz w:val="32"/>
          <w:szCs w:val="32"/>
          <w:u w:val="single"/>
          <w:lang w:val="en-US" w:eastAsia="zh-CN"/>
        </w:rPr>
        <w:t>11</w:t>
      </w:r>
      <w:r>
        <w:rPr>
          <w:rFonts w:ascii="仿宋_GB2312" w:hAnsi="仿宋_GB2312" w:eastAsia="仿宋_GB2312" w:cs="仿宋_GB2312"/>
          <w:kern w:val="2"/>
          <w:sz w:val="32"/>
          <w:szCs w:val="32"/>
        </w:rPr>
        <w:t>月</w:t>
      </w:r>
      <w:r>
        <w:rPr>
          <w:rFonts w:hint="eastAsia" w:ascii="仿宋_GB2312" w:hAnsi="仿宋_GB2312" w:eastAsia="仿宋_GB2312" w:cs="仿宋_GB2312"/>
          <w:kern w:val="2"/>
          <w:sz w:val="32"/>
          <w:szCs w:val="32"/>
          <w:u w:val="single"/>
          <w:lang w:val="en-US" w:eastAsia="zh-CN"/>
        </w:rPr>
        <w:t>30</w:t>
      </w:r>
      <w:r>
        <w:rPr>
          <w:rFonts w:ascii="仿宋_GB2312" w:hAnsi="仿宋_GB2312" w:eastAsia="仿宋_GB2312" w:cs="仿宋_GB2312"/>
          <w:kern w:val="2"/>
          <w:sz w:val="32"/>
          <w:szCs w:val="32"/>
        </w:rPr>
        <w:t>日前改正。</w:t>
      </w:r>
    </w:p>
    <w:p w14:paraId="70D555A6">
      <w:pPr>
        <w:autoSpaceDE/>
        <w:autoSpaceDN/>
        <w:snapToGrid w:val="0"/>
        <w:spacing w:line="360" w:lineRule="auto"/>
        <w:ind w:firstLine="640" w:firstLineChars="200"/>
        <w:jc w:val="both"/>
        <w:rPr>
          <w:rFonts w:ascii="仿宋_GB2312" w:hAnsi="Calibri" w:eastAsia="仿宋_GB2312"/>
          <w:kern w:val="2"/>
          <w:sz w:val="32"/>
          <w:szCs w:val="32"/>
        </w:rPr>
      </w:pPr>
      <w:r>
        <w:rPr>
          <w:rFonts w:hint="eastAsia" w:ascii="仿宋_GB2312" w:hAnsi="Calibri" w:eastAsia="仿宋_GB2312"/>
          <w:kern w:val="2"/>
          <w:sz w:val="32"/>
          <w:szCs w:val="32"/>
        </w:rPr>
        <w:t>具体要求如下：</w:t>
      </w:r>
    </w:p>
    <w:p w14:paraId="76AB3547">
      <w:pPr>
        <w:widowControl/>
        <w:snapToGrid w:val="0"/>
        <w:spacing w:line="360" w:lineRule="auto"/>
        <w:ind w:firstLine="640" w:firstLineChars="200"/>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拆除房屋</w:t>
      </w:r>
      <w:r>
        <w:rPr>
          <w:rFonts w:hint="eastAsia" w:ascii="仿宋_GB2312" w:hAnsi="仿宋_GB2312" w:eastAsia="仿宋_GB2312" w:cs="仿宋_GB2312"/>
          <w:color w:val="000000"/>
          <w:sz w:val="32"/>
          <w:szCs w:val="32"/>
          <w:u w:val="single"/>
          <w:lang w:val="en-US" w:eastAsia="zh-CN"/>
        </w:rPr>
        <w:t>西北</w:t>
      </w:r>
      <w:r>
        <w:rPr>
          <w:rFonts w:hint="eastAsia" w:ascii="仿宋_GB2312" w:hAnsi="仿宋_GB2312" w:eastAsia="仿宋_GB2312" w:cs="仿宋_GB2312"/>
          <w:color w:val="000000"/>
          <w:sz w:val="32"/>
          <w:szCs w:val="32"/>
          <w:u w:val="single"/>
        </w:rPr>
        <w:t>侧区域所有的厨房设施（包括灶具、洗涤池、燃气管道等），不得将该区域作为厨房使用。如需保留厨房功能，须恢复至原平面图设计的</w:t>
      </w:r>
      <w:r>
        <w:rPr>
          <w:rFonts w:hint="eastAsia" w:ascii="仿宋_GB2312" w:hAnsi="仿宋_GB2312" w:eastAsia="仿宋_GB2312" w:cs="仿宋_GB2312"/>
          <w:color w:val="000000"/>
          <w:sz w:val="32"/>
          <w:szCs w:val="32"/>
          <w:u w:val="single"/>
          <w:lang w:val="en-US" w:eastAsia="zh-CN"/>
        </w:rPr>
        <w:t>东</w:t>
      </w:r>
      <w:r>
        <w:rPr>
          <w:rFonts w:hint="eastAsia" w:ascii="仿宋_GB2312" w:hAnsi="仿宋_GB2312" w:eastAsia="仿宋_GB2312" w:cs="仿宋_GB2312"/>
          <w:color w:val="000000"/>
          <w:sz w:val="32"/>
          <w:szCs w:val="32"/>
          <w:u w:val="single"/>
        </w:rPr>
        <w:t>南侧位置。</w:t>
      </w:r>
    </w:p>
    <w:p w14:paraId="2C8FA604">
      <w:pPr>
        <w:widowControl/>
        <w:snapToGrid w:val="0"/>
        <w:spacing w:line="360" w:lineRule="auto"/>
        <w:ind w:firstLine="640" w:firstLineChars="200"/>
        <w:rPr>
          <w:rFonts w:ascii="仿宋_GB2312" w:hAnsi="仿宋_GB2312" w:eastAsia="仿宋_GB2312" w:cs="仿宋_GB2312"/>
          <w:color w:val="000000"/>
          <w:sz w:val="32"/>
          <w:szCs w:val="32"/>
        </w:rPr>
      </w:pPr>
    </w:p>
    <w:p w14:paraId="492F22F5">
      <w:pPr>
        <w:widowControl/>
        <w:snapToGrid w:val="0"/>
        <w:spacing w:line="360" w:lineRule="auto"/>
        <w:rPr>
          <w:rFonts w:ascii="仿宋_GB2312" w:hAnsi="仿宋_GB2312" w:eastAsia="仿宋_GB2312" w:cs="仿宋_GB2312"/>
          <w:color w:val="000000"/>
          <w:sz w:val="32"/>
          <w:szCs w:val="32"/>
        </w:rPr>
      </w:pPr>
    </w:p>
    <w:p w14:paraId="13121E7E">
      <w:pPr>
        <w:widowControl/>
        <w:snapToGrid w:val="0"/>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如对本决定不服，可在收到本决定书之日起六十日内向苏州市姑苏区人民政府申请行政复议，也可在收到本决定书之日起六个月内直接向苏州市吴中区人民法院提起行政诉讼。行政复议或行政诉讼期间，本</w:t>
      </w:r>
      <w:r>
        <w:rPr>
          <w:rFonts w:hint="eastAsia" w:ascii="仿宋_GB2312" w:hAnsi="仿宋_GB2312" w:eastAsia="仿宋_GB2312" w:cs="仿宋_GB2312"/>
          <w:color w:val="000000"/>
          <w:sz w:val="32"/>
          <w:szCs w:val="32"/>
          <w:lang w:val="en-US" w:eastAsia="zh-CN"/>
        </w:rPr>
        <w:t>行政</w:t>
      </w:r>
      <w:r>
        <w:rPr>
          <w:rFonts w:hint="eastAsia" w:ascii="仿宋_GB2312" w:hAnsi="仿宋_GB2312" w:eastAsia="仿宋_GB2312" w:cs="仿宋_GB2312"/>
          <w:color w:val="000000"/>
          <w:sz w:val="32"/>
          <w:szCs w:val="32"/>
        </w:rPr>
        <w:t>决定不停止执行。</w:t>
      </w:r>
    </w:p>
    <w:p w14:paraId="19E15E3C">
      <w:pPr>
        <w:widowControl/>
        <w:snapToGrid w:val="0"/>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逾期不申请复议也不向人民法院提起诉讼又不履行本决定的，本机关将依据中华人民共和国行政强制法第五十三条的规定，依法申请人民法院强制执行。</w:t>
      </w:r>
    </w:p>
    <w:p w14:paraId="73216E82">
      <w:pPr>
        <w:widowControl/>
        <w:snapToGrid w:val="0"/>
        <w:spacing w:line="360" w:lineRule="auto"/>
        <w:ind w:firstLine="640" w:firstLineChars="200"/>
        <w:rPr>
          <w:rFonts w:ascii="仿宋_GB2312" w:hAnsi="仿宋_GB2312" w:eastAsia="仿宋_GB2312" w:cs="仿宋_GB2312"/>
          <w:color w:val="000000"/>
          <w:sz w:val="32"/>
          <w:szCs w:val="32"/>
        </w:rPr>
      </w:pPr>
    </w:p>
    <w:p w14:paraId="54B35F16">
      <w:pPr>
        <w:widowControl/>
        <w:snapToGrid w:val="0"/>
        <w:spacing w:line="360" w:lineRule="auto"/>
        <w:ind w:firstLine="640" w:firstLineChars="200"/>
        <w:rPr>
          <w:rFonts w:ascii="仿宋_GB2312" w:hAnsi="仿宋_GB2312" w:eastAsia="仿宋_GB2312" w:cs="仿宋_GB2312"/>
          <w:color w:val="000000"/>
          <w:sz w:val="32"/>
          <w:szCs w:val="32"/>
        </w:rPr>
      </w:pPr>
    </w:p>
    <w:p w14:paraId="3373E062">
      <w:pPr>
        <w:widowControl/>
        <w:snapToGrid w:val="0"/>
        <w:spacing w:line="360" w:lineRule="auto"/>
        <w:ind w:right="320"/>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苏州市姑苏区住房和建设委员会 </w:t>
      </w:r>
    </w:p>
    <w:p w14:paraId="30ECF742">
      <w:pPr>
        <w:widowControl/>
        <w:snapToGrid w:val="0"/>
        <w:spacing w:line="360" w:lineRule="auto"/>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2026年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 xml:space="preserve">日 </w:t>
      </w:r>
    </w:p>
    <w:p w14:paraId="33D8F037">
      <w:pPr>
        <w:widowControl/>
        <w:snapToGrid w:val="0"/>
        <w:spacing w:line="360" w:lineRule="auto"/>
        <w:jc w:val="center"/>
        <w:rPr>
          <w:rFonts w:ascii="仿宋_GB2312" w:hAnsi="仿宋_GB2312" w:eastAsia="仿宋_GB2312" w:cs="仿宋_GB2312"/>
          <w:color w:val="000000"/>
          <w:sz w:val="32"/>
          <w:szCs w:val="32"/>
        </w:rPr>
      </w:pPr>
    </w:p>
    <w:p w14:paraId="6B16E06B">
      <w:pPr>
        <w:widowControl/>
        <w:snapToGrid w:val="0"/>
        <w:spacing w:line="360" w:lineRule="auto"/>
        <w:jc w:val="center"/>
        <w:rPr>
          <w:rFonts w:ascii="仿宋_GB2312" w:hAnsi="仿宋_GB2312" w:eastAsia="仿宋_GB2312" w:cs="仿宋_GB2312"/>
          <w:color w:val="000000"/>
          <w:sz w:val="32"/>
          <w:szCs w:val="32"/>
        </w:rPr>
      </w:pPr>
    </w:p>
    <w:p w14:paraId="011CD0AF">
      <w:pPr>
        <w:widowControl/>
        <w:snapToGrid w:val="0"/>
        <w:spacing w:line="360" w:lineRule="auto"/>
        <w:ind w:left="638" w:leftChars="266"/>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联系地址：苏州市姑苏区平川路510号 </w:t>
      </w:r>
    </w:p>
    <w:p w14:paraId="775B1F53">
      <w:pPr>
        <w:widowControl/>
        <w:snapToGrid w:val="0"/>
        <w:spacing w:line="360" w:lineRule="auto"/>
        <w:ind w:left="638" w:leftChars="266"/>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联系电话：0</w:t>
      </w:r>
      <w:r>
        <w:rPr>
          <w:rFonts w:ascii="仿宋_GB2312" w:hAnsi="仿宋_GB2312" w:eastAsia="仿宋_GB2312" w:cs="仿宋_GB2312"/>
          <w:color w:val="000000"/>
          <w:sz w:val="32"/>
          <w:szCs w:val="32"/>
        </w:rPr>
        <w:t>512-</w:t>
      </w:r>
      <w:r>
        <w:rPr>
          <w:rFonts w:hint="eastAsia" w:ascii="仿宋_GB2312" w:hAnsi="仿宋_GB2312" w:eastAsia="仿宋_GB2312" w:cs="仿宋_GB2312"/>
          <w:color w:val="000000"/>
          <w:sz w:val="32"/>
          <w:szCs w:val="32"/>
        </w:rPr>
        <w:t>68723515</w:t>
      </w:r>
    </w:p>
    <w:p w14:paraId="090FC4E2">
      <w:pPr>
        <w:rPr>
          <w:rFonts w:ascii="仿宋_GB2312" w:hAnsi="仿宋_GB2312" w:eastAsia="仿宋_GB2312" w:cs="仿宋_GB2312"/>
          <w:color w:val="000000"/>
          <w:sz w:val="32"/>
          <w:szCs w:val="32"/>
        </w:rPr>
      </w:pPr>
      <w:bookmarkStart w:id="0" w:name="_GoBack"/>
      <w:bookmarkEnd w:id="0"/>
    </w:p>
    <w:sectPr>
      <w:footerReference r:id="rId3" w:type="default"/>
      <w:pgSz w:w="11906" w:h="16838"/>
      <w:pgMar w:top="1440"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F969">
    <w:pPr>
      <w:widowControl/>
      <w:spacing w:line="570" w:lineRule="exact"/>
      <w:ind w:firstLine="480" w:firstLineChars="200"/>
      <w:rPr>
        <w:rFonts w:ascii="仿宋_GB2312" w:hAnsi="仿宋_GB2312" w:eastAsia="仿宋_GB2312" w:cs="仿宋_GB23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17ABF"/>
    <w:rsid w:val="002A4662"/>
    <w:rsid w:val="00517ABF"/>
    <w:rsid w:val="00EC4729"/>
    <w:rsid w:val="00F2025C"/>
    <w:rsid w:val="05D0000B"/>
    <w:rsid w:val="0A202727"/>
    <w:rsid w:val="0BFE313E"/>
    <w:rsid w:val="10710382"/>
    <w:rsid w:val="12802B6B"/>
    <w:rsid w:val="16A718FC"/>
    <w:rsid w:val="1A5D5170"/>
    <w:rsid w:val="1AF92460"/>
    <w:rsid w:val="1B2F263E"/>
    <w:rsid w:val="1C1C0C1F"/>
    <w:rsid w:val="1C57659C"/>
    <w:rsid w:val="1F330EF8"/>
    <w:rsid w:val="21A63C04"/>
    <w:rsid w:val="243E5541"/>
    <w:rsid w:val="2760422A"/>
    <w:rsid w:val="29E534E1"/>
    <w:rsid w:val="2D7D105D"/>
    <w:rsid w:val="3042099B"/>
    <w:rsid w:val="307F3F9D"/>
    <w:rsid w:val="31DD7679"/>
    <w:rsid w:val="326A5322"/>
    <w:rsid w:val="338E62A6"/>
    <w:rsid w:val="357F4820"/>
    <w:rsid w:val="3E316D18"/>
    <w:rsid w:val="414032D5"/>
    <w:rsid w:val="42E75E32"/>
    <w:rsid w:val="4316159F"/>
    <w:rsid w:val="43686B13"/>
    <w:rsid w:val="43F829C4"/>
    <w:rsid w:val="442B201A"/>
    <w:rsid w:val="46B71899"/>
    <w:rsid w:val="47276FD2"/>
    <w:rsid w:val="473324C3"/>
    <w:rsid w:val="4CCE5C23"/>
    <w:rsid w:val="4CED70F6"/>
    <w:rsid w:val="4E893F8B"/>
    <w:rsid w:val="4F7E1343"/>
    <w:rsid w:val="4FD36B65"/>
    <w:rsid w:val="506475A6"/>
    <w:rsid w:val="52DA59FB"/>
    <w:rsid w:val="54C44D86"/>
    <w:rsid w:val="58392B46"/>
    <w:rsid w:val="5BA54F84"/>
    <w:rsid w:val="5FC24A29"/>
    <w:rsid w:val="5FC7078E"/>
    <w:rsid w:val="612A6271"/>
    <w:rsid w:val="63E43B3C"/>
    <w:rsid w:val="6AEC293C"/>
    <w:rsid w:val="6D527D69"/>
    <w:rsid w:val="6F5A6157"/>
    <w:rsid w:val="6F6C1CBE"/>
    <w:rsid w:val="739F3E2D"/>
    <w:rsid w:val="77064CD8"/>
    <w:rsid w:val="7715608F"/>
    <w:rsid w:val="78FE05D6"/>
    <w:rsid w:val="7E9E2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style>
  <w:style w:type="paragraph" w:styleId="3">
    <w:name w:val="Balloon Text"/>
    <w:basedOn w:val="1"/>
    <w:link w:val="14"/>
    <w:qFormat/>
    <w:uiPriority w:val="0"/>
    <w:rPr>
      <w:sz w:val="18"/>
      <w:szCs w:val="18"/>
    </w:rPr>
  </w:style>
  <w:style w:type="paragraph" w:styleId="4">
    <w:name w:val="footer"/>
    <w:basedOn w:val="1"/>
    <w:link w:val="11"/>
    <w:qFormat/>
    <w:uiPriority w:val="0"/>
    <w:pPr>
      <w:tabs>
        <w:tab w:val="center" w:pos="4153"/>
        <w:tab w:val="right" w:pos="8306"/>
      </w:tabs>
      <w:snapToGrid w:val="0"/>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qFormat/>
    <w:uiPriority w:val="0"/>
    <w:rPr>
      <w:b/>
      <w:bCs/>
    </w:rPr>
  </w:style>
  <w:style w:type="character" w:styleId="9">
    <w:name w:val="annotation reference"/>
    <w:basedOn w:val="8"/>
    <w:qFormat/>
    <w:uiPriority w:val="0"/>
    <w:rPr>
      <w:sz w:val="21"/>
      <w:szCs w:val="21"/>
    </w:rPr>
  </w:style>
  <w:style w:type="character" w:customStyle="1" w:styleId="10">
    <w:name w:val="页眉 Char"/>
    <w:basedOn w:val="8"/>
    <w:link w:val="5"/>
    <w:qFormat/>
    <w:uiPriority w:val="0"/>
    <w:rPr>
      <w:rFonts w:ascii="Times New Roman" w:hAnsi="Times New Roman" w:cs="Times New Roman"/>
      <w:sz w:val="18"/>
      <w:szCs w:val="18"/>
    </w:rPr>
  </w:style>
  <w:style w:type="character" w:customStyle="1" w:styleId="11">
    <w:name w:val="页脚 Char"/>
    <w:basedOn w:val="8"/>
    <w:link w:val="4"/>
    <w:qFormat/>
    <w:uiPriority w:val="0"/>
    <w:rPr>
      <w:rFonts w:ascii="Times New Roman" w:hAnsi="Times New Roman" w:cs="Times New Roman"/>
      <w:sz w:val="18"/>
      <w:szCs w:val="18"/>
    </w:rPr>
  </w:style>
  <w:style w:type="character" w:customStyle="1" w:styleId="12">
    <w:name w:val="批注文字 Char"/>
    <w:basedOn w:val="8"/>
    <w:link w:val="2"/>
    <w:qFormat/>
    <w:uiPriority w:val="0"/>
    <w:rPr>
      <w:rFonts w:ascii="Times New Roman" w:hAnsi="Times New Roman" w:cs="Times New Roman"/>
      <w:sz w:val="24"/>
    </w:rPr>
  </w:style>
  <w:style w:type="character" w:customStyle="1" w:styleId="13">
    <w:name w:val="批注主题 Char"/>
    <w:basedOn w:val="12"/>
    <w:link w:val="6"/>
    <w:qFormat/>
    <w:uiPriority w:val="0"/>
    <w:rPr>
      <w:b/>
      <w:bCs/>
    </w:rPr>
  </w:style>
  <w:style w:type="character" w:customStyle="1" w:styleId="14">
    <w:name w:val="批注框文本 Char"/>
    <w:basedOn w:val="8"/>
    <w:link w:val="3"/>
    <w:qFormat/>
    <w:uiPriority w:val="0"/>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1017</Words>
  <Characters>1083</Characters>
  <Lines>9</Lines>
  <Paragraphs>2</Paragraphs>
  <TotalTime>2</TotalTime>
  <ScaleCrop>false</ScaleCrop>
  <LinksUpToDate>false</LinksUpToDate>
  <CharactersWithSpaces>1232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2026-04-02T02:34:00Z</dcterms:created>
  <dc:creator>张一</dc:creator>
  <cp:lastModifiedBy>张一</cp:lastModifiedBy>
  <dcterms:modified xsi:type="dcterms:W3CDTF">2026-10-12T07:34:49Z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8329ABCEE0204A25AB8EA1A342829487_13</vt:lpwstr>
  </property>
  <property fmtid="{D5CDD505-2E9C-101B-9397-08002B2CF9AE}" pid="4" name="KSOTemplateDocerSaveRecord">
    <vt:lpwstr>eyJoZGlkIjoiZGE2Mjg2YTZkZTMyMTYwY2M1OTQ5YzJlN2MyYmRjOGEiLCJ1c2VySWQiOiI2MjQzMzE2NTcifQ==</vt:lpwstr>
  </property>
</Properties>
</file>