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2F233">
      <w:pPr>
        <w:pStyle w:val="2"/>
        <w:pageBreakBefore w:val="0"/>
        <w:widowControl w:val="0"/>
        <w:kinsoku/>
        <w:wordWrap/>
        <w:overflowPunct/>
        <w:topLinePunct w:val="0"/>
        <w:autoSpaceDE/>
        <w:autoSpaceDN/>
        <w:bidi w:val="0"/>
        <w:adjustRightInd/>
        <w:snapToGrid/>
        <w:spacing w:line="560" w:lineRule="exact"/>
        <w:textAlignment w:val="auto"/>
        <w:rPr>
          <w:rFonts w:hint="eastAsia" w:ascii="方正公文小标宋" w:hAnsi="方正公文小标宋" w:eastAsia="方正公文小标宋" w:cs="方正公文小标宋"/>
          <w:sz w:val="44"/>
          <w:szCs w:val="44"/>
        </w:rPr>
      </w:pPr>
      <w:r>
        <w:rPr>
          <w:rFonts w:hint="eastAsia"/>
        </w:rPr>
        <w:t>《</w:t>
      </w:r>
      <w:r>
        <w:rPr>
          <w:rFonts w:hint="eastAsia"/>
          <w:color w:val="000000" w:themeColor="text1"/>
          <w14:textFill>
            <w14:solidFill>
              <w14:schemeClr w14:val="tx1"/>
            </w14:solidFill>
          </w14:textFill>
        </w:rPr>
        <w:t>平江历史文化街区</w:t>
      </w:r>
      <w:r>
        <w:rPr>
          <w:color w:val="000000" w:themeColor="text1"/>
          <w14:textFill>
            <w14:solidFill>
              <w14:schemeClr w14:val="tx1"/>
            </w14:solidFill>
          </w14:textFill>
        </w:rPr>
        <w:t>管理办法</w:t>
      </w:r>
      <w:r>
        <w:rPr>
          <w:rFonts w:hint="eastAsia"/>
        </w:rPr>
        <w:t>》起草说明</w:t>
      </w:r>
    </w:p>
    <w:p w14:paraId="5E654A5B">
      <w:pPr>
        <w:pStyle w:val="2"/>
        <w:pageBreakBefore w:val="0"/>
        <w:widowControl w:val="0"/>
        <w:kinsoku/>
        <w:wordWrap/>
        <w:overflowPunct/>
        <w:topLinePunct w:val="0"/>
        <w:autoSpaceDE/>
        <w:autoSpaceDN/>
        <w:bidi w:val="0"/>
        <w:adjustRightInd/>
        <w:snapToGrid/>
        <w:spacing w:line="240" w:lineRule="auto"/>
        <w:textAlignment w:val="auto"/>
        <w:rPr>
          <w:rFonts w:hint="eastAsia"/>
          <w:sz w:val="10"/>
          <w:szCs w:val="10"/>
        </w:rPr>
      </w:pPr>
    </w:p>
    <w:p w14:paraId="3E2AAA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为了进一步提升平江历史文化街区综合管理和服务水平，将平江历史文化街区建成文化、商业、旅游、社区良性互动与融合发展的居住复合型街区</w:t>
      </w:r>
      <w:r>
        <w:rPr>
          <w:rFonts w:hint="eastAsia" w:ascii="仿宋" w:hAnsi="仿宋" w:eastAsia="仿宋" w:cs="仿宋"/>
          <w:sz w:val="32"/>
          <w:szCs w:val="32"/>
          <w:lang w:eastAsia="zh-CN"/>
        </w:rPr>
        <w:t>，姑苏区人民政府拟借鉴国内外先进经验，结合平江历史街区实际，建立一套“可复制、可推广”的管理制度，</w:t>
      </w:r>
      <w:r>
        <w:rPr>
          <w:rFonts w:hint="eastAsia" w:ascii="仿宋" w:hAnsi="仿宋" w:eastAsia="仿宋" w:cs="仿宋"/>
          <w:sz w:val="32"/>
          <w:szCs w:val="32"/>
          <w:lang w:val="en-US" w:eastAsia="zh-CN"/>
        </w:rPr>
        <w:t>遂于2022年初立项</w:t>
      </w:r>
      <w:r>
        <w:rPr>
          <w:rFonts w:hint="default" w:ascii="仿宋" w:hAnsi="仿宋" w:eastAsia="仿宋" w:cs="仿宋"/>
          <w:sz w:val="32"/>
          <w:szCs w:val="32"/>
          <w:lang w:eastAsia="zh-CN"/>
        </w:rPr>
        <w:t>《平江历史文化街区管理办法》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以下简称《办法》</w:t>
      </w:r>
      <w:r>
        <w:rPr>
          <w:rFonts w:hint="eastAsia" w:ascii="仿宋" w:hAnsi="仿宋" w:eastAsia="仿宋" w:cs="仿宋"/>
          <w:sz w:val="32"/>
          <w:szCs w:val="32"/>
          <w:lang w:eastAsia="zh-CN"/>
        </w:rPr>
        <w:t>）</w:t>
      </w:r>
      <w:r>
        <w:rPr>
          <w:rFonts w:hint="default" w:ascii="仿宋" w:hAnsi="仿宋" w:eastAsia="仿宋" w:cs="仿宋"/>
          <w:sz w:val="32"/>
          <w:szCs w:val="32"/>
          <w:lang w:val="en-US" w:eastAsia="zh-CN"/>
        </w:rPr>
        <w:t>制定</w:t>
      </w:r>
      <w:r>
        <w:rPr>
          <w:rFonts w:hint="eastAsia" w:ascii="仿宋" w:hAnsi="仿宋" w:eastAsia="仿宋" w:cs="仿宋"/>
          <w:sz w:val="32"/>
          <w:szCs w:val="32"/>
          <w:lang w:val="en-US" w:eastAsia="zh-CN"/>
        </w:rPr>
        <w:t>，明确由平江街道办事处负责起草。</w:t>
      </w:r>
      <w:r>
        <w:rPr>
          <w:rFonts w:hint="eastAsia" w:ascii="仿宋" w:hAnsi="仿宋" w:eastAsia="仿宋" w:cs="仿宋"/>
          <w:sz w:val="32"/>
          <w:szCs w:val="32"/>
        </w:rPr>
        <w:t>根据《</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"https://www.pkulaw.com/lar/a129e56768dc08eb7af198c592b6d85cbdfb.html?keyword=%E8%A7%84%E8%8C%83%E6%80%A7%E6%96%87%E4%BB%B6 &amp;way=listView" \t "https://www.pkulaw.com/_blank" </w:instrText>
      </w:r>
      <w:r>
        <w:rPr>
          <w:rFonts w:hint="eastAsia" w:ascii="仿宋" w:hAnsi="仿宋" w:eastAsia="仿宋" w:cs="仿宋"/>
          <w:sz w:val="32"/>
          <w:szCs w:val="32"/>
        </w:rPr>
        <w:fldChar w:fldCharType="separate"/>
      </w:r>
      <w:r>
        <w:rPr>
          <w:rFonts w:hint="eastAsia" w:ascii="仿宋" w:hAnsi="仿宋" w:eastAsia="仿宋" w:cs="仿宋"/>
          <w:sz w:val="32"/>
          <w:szCs w:val="32"/>
        </w:rPr>
        <w:t>江苏省行政规范性文件管理规定</w:t>
      </w:r>
      <w:r>
        <w:rPr>
          <w:rFonts w:hint="eastAsia" w:ascii="仿宋" w:hAnsi="仿宋" w:eastAsia="仿宋" w:cs="仿宋"/>
          <w:sz w:val="32"/>
          <w:szCs w:val="32"/>
        </w:rPr>
        <w:fldChar w:fldCharType="end"/>
      </w:r>
      <w:r>
        <w:rPr>
          <w:rFonts w:hint="eastAsia" w:ascii="仿宋" w:hAnsi="仿宋" w:eastAsia="仿宋" w:cs="仿宋"/>
          <w:sz w:val="32"/>
          <w:szCs w:val="32"/>
        </w:rPr>
        <w:t>》和《</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"https://www.pkulaw.com/lar/ca259c25e03722ede88bb542c826df6abdfb.html?keyword=%E8%A7%84%E8%8C%83%E6%80%A7%E6%96%87%E4%BB%B6 &amp;way=listView" \t "https://www.pkulaw.com/_blank" </w:instrText>
      </w:r>
      <w:r>
        <w:rPr>
          <w:rFonts w:hint="eastAsia" w:ascii="仿宋" w:hAnsi="仿宋" w:eastAsia="仿宋" w:cs="仿宋"/>
          <w:sz w:val="32"/>
          <w:szCs w:val="32"/>
        </w:rPr>
        <w:fldChar w:fldCharType="separate"/>
      </w:r>
      <w:r>
        <w:rPr>
          <w:rFonts w:hint="eastAsia" w:ascii="仿宋" w:hAnsi="仿宋" w:eastAsia="仿宋" w:cs="仿宋"/>
          <w:sz w:val="32"/>
          <w:szCs w:val="32"/>
        </w:rPr>
        <w:t>苏州市行政规范性文件制定和监督管理规定</w:t>
      </w:r>
      <w:r>
        <w:rPr>
          <w:rFonts w:hint="eastAsia" w:ascii="仿宋" w:hAnsi="仿宋" w:eastAsia="仿宋" w:cs="仿宋"/>
          <w:sz w:val="32"/>
          <w:szCs w:val="32"/>
        </w:rPr>
        <w:fldChar w:fldCharType="end"/>
      </w:r>
      <w:r>
        <w:rPr>
          <w:rFonts w:hint="eastAsia" w:ascii="仿宋" w:hAnsi="仿宋" w:eastAsia="仿宋" w:cs="仿宋"/>
          <w:sz w:val="32"/>
          <w:szCs w:val="32"/>
        </w:rPr>
        <w:t> 》有关要求，就文件制定有关事宜作说明如下：</w:t>
      </w:r>
    </w:p>
    <w:p w14:paraId="2DDB41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rPr>
        <w:t>一、</w:t>
      </w:r>
      <w:r>
        <w:rPr>
          <w:rFonts w:hint="eastAsia" w:ascii="仿宋" w:hAnsi="仿宋" w:eastAsia="仿宋" w:cs="仿宋"/>
          <w:b/>
          <w:bCs/>
          <w:sz w:val="32"/>
          <w:szCs w:val="32"/>
          <w:lang w:val="en-US" w:eastAsia="zh-CN"/>
        </w:rPr>
        <w:t>起草背景</w:t>
      </w:r>
    </w:p>
    <w:p w14:paraId="0E8E49C5">
      <w:pPr>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仿宋" w:hAnsi="仿宋" w:eastAsia="仿宋" w:cs="仿宋"/>
          <w:sz w:val="32"/>
          <w:szCs w:val="32"/>
        </w:rPr>
      </w:pPr>
      <w:r>
        <w:rPr>
          <w:rFonts w:hint="eastAsia" w:ascii="仿宋" w:hAnsi="仿宋" w:eastAsia="仿宋" w:cs="仿宋"/>
          <w:kern w:val="0"/>
          <w:sz w:val="32"/>
          <w:szCs w:val="32"/>
          <w:lang w:bidi="ar"/>
        </w:rPr>
        <w:t>平江历史街区是苏州迄今保存最完整、规模最大的历史文化街区，也</w:t>
      </w:r>
      <w:r>
        <w:rPr>
          <w:rFonts w:hint="eastAsia" w:ascii="仿宋" w:hAnsi="仿宋" w:eastAsia="仿宋" w:cs="仿宋"/>
          <w:sz w:val="32"/>
          <w:szCs w:val="32"/>
        </w:rPr>
        <w:t>是一个以居住为主，涵盖旅游、商业、文化等各方面的复合型街区，在全国独一无二，</w:t>
      </w:r>
      <w:r>
        <w:rPr>
          <w:rFonts w:hint="eastAsia" w:ascii="仿宋" w:hAnsi="仿宋" w:eastAsia="仿宋" w:cs="仿宋"/>
          <w:kern w:val="0"/>
          <w:sz w:val="32"/>
          <w:szCs w:val="32"/>
          <w:lang w:bidi="ar"/>
        </w:rPr>
        <w:t>相继实施了一系列保护更新项目，斩获了一批全省乃至全国的金字招牌</w:t>
      </w:r>
      <w:r>
        <w:rPr>
          <w:rFonts w:hint="eastAsia" w:ascii="仿宋" w:hAnsi="仿宋" w:eastAsia="仿宋" w:cs="仿宋"/>
          <w:sz w:val="32"/>
          <w:szCs w:val="32"/>
        </w:rPr>
        <w:t>。</w:t>
      </w:r>
    </w:p>
    <w:p w14:paraId="3DBA2C38">
      <w:pPr>
        <w:pageBreakBefore w:val="0"/>
        <w:widowControl w:val="0"/>
        <w:kinsoku/>
        <w:wordWrap/>
        <w:overflowPunct/>
        <w:topLinePunct w:val="0"/>
        <w:autoSpaceDE/>
        <w:autoSpaceDN/>
        <w:bidi w:val="0"/>
        <w:adjustRightInd w:val="0"/>
        <w:snapToGrid w:val="0"/>
        <w:spacing w:line="560" w:lineRule="exact"/>
        <w:ind w:firstLine="64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z w:val="32"/>
          <w:szCs w:val="32"/>
        </w:rPr>
        <w:t>为满足街区内历史文物、历史建筑、传统民居等历史元素的成片保护利用和街区保护更新需要，</w:t>
      </w:r>
      <w:r>
        <w:rPr>
          <w:rFonts w:hint="eastAsia" w:ascii="仿宋" w:hAnsi="仿宋" w:eastAsia="仿宋" w:cs="仿宋"/>
          <w:sz w:val="32"/>
          <w:szCs w:val="32"/>
          <w:lang w:val="en-US" w:eastAsia="zh-CN"/>
        </w:rPr>
        <w:t>协调、整合各方力量</w:t>
      </w:r>
      <w:r>
        <w:rPr>
          <w:rFonts w:hint="eastAsia" w:ascii="仿宋" w:hAnsi="仿宋" w:eastAsia="仿宋" w:cs="仿宋"/>
          <w:color w:val="000000" w:themeColor="text1"/>
          <w:sz w:val="32"/>
          <w:szCs w:val="32"/>
          <w14:textFill>
            <w14:solidFill>
              <w14:schemeClr w14:val="tx1"/>
            </w14:solidFill>
          </w14:textFill>
        </w:rPr>
        <w:t>进一步提升平江历史文化街区综合管理和服务水平，</w:t>
      </w:r>
      <w:r>
        <w:rPr>
          <w:rFonts w:hint="eastAsia" w:ascii="仿宋" w:hAnsi="仿宋" w:eastAsia="仿宋" w:cs="仿宋"/>
          <w:color w:val="000000" w:themeColor="text1"/>
          <w:sz w:val="32"/>
          <w:szCs w:val="32"/>
          <w:lang w:val="en-US" w:eastAsia="zh-CN"/>
          <w14:textFill>
            <w14:solidFill>
              <w14:schemeClr w14:val="tx1"/>
            </w14:solidFill>
          </w14:textFill>
        </w:rPr>
        <w:t>亟待出台一部能够体现平江历史文化街区特色、切合街区实际、能够较为全面具体地指导相关主体行为的规范性文件。</w:t>
      </w:r>
    </w:p>
    <w:p w14:paraId="79CCD201">
      <w:pPr>
        <w:pStyle w:val="2"/>
        <w:pageBreakBefore w:val="0"/>
        <w:widowControl w:val="0"/>
        <w:kinsoku/>
        <w:wordWrap/>
        <w:overflowPunct/>
        <w:topLinePunct w:val="0"/>
        <w:autoSpaceDE/>
        <w:autoSpaceDN/>
        <w:bidi w:val="0"/>
        <w:spacing w:line="560" w:lineRule="exact"/>
        <w:ind w:firstLine="643" w:firstLineChars="200"/>
        <w:jc w:val="both"/>
        <w:textAlignment w:val="auto"/>
        <w:rPr>
          <w:rFonts w:hint="eastAsia" w:ascii="仿宋" w:hAnsi="仿宋" w:eastAsia="仿宋" w:cs="仿宋"/>
          <w:b/>
          <w:bCs w:val="0"/>
          <w:kern w:val="2"/>
          <w:sz w:val="32"/>
          <w:szCs w:val="32"/>
        </w:rPr>
      </w:pPr>
      <w:r>
        <w:rPr>
          <w:rFonts w:hint="eastAsia" w:ascii="仿宋" w:hAnsi="仿宋" w:eastAsia="仿宋" w:cs="仿宋"/>
          <w:b/>
          <w:bCs w:val="0"/>
          <w:kern w:val="2"/>
          <w:sz w:val="32"/>
          <w:szCs w:val="32"/>
        </w:rPr>
        <w:t>二、起草过程</w:t>
      </w:r>
    </w:p>
    <w:p w14:paraId="5A498434">
      <w:pPr>
        <w:pageBreakBefore w:val="0"/>
        <w:widowControl w:val="0"/>
        <w:kinsoku/>
        <w:wordWrap/>
        <w:overflowPunct/>
        <w:topLinePunct w:val="0"/>
        <w:autoSpaceDE/>
        <w:autoSpaceDN/>
        <w:bidi w:val="0"/>
        <w:spacing w:line="56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2021年，平江历史街区内多个项目被列入苏州市城市更新试点项目，并积极引入万科物业试点开展街区物业管理，探索古城保护更新的新模式和新路径。</w:t>
      </w:r>
      <w:r>
        <w:rPr>
          <w:rFonts w:hint="eastAsia" w:ascii="仿宋" w:hAnsi="仿宋" w:eastAsia="仿宋" w:cs="仿宋"/>
          <w:sz w:val="32"/>
          <w:szCs w:val="32"/>
          <w:lang w:val="en-US" w:eastAsia="zh-CN"/>
        </w:rPr>
        <w:t>2022年立项之后，平江街道在</w:t>
      </w:r>
      <w:r>
        <w:rPr>
          <w:rFonts w:hint="eastAsia" w:ascii="仿宋" w:hAnsi="仿宋" w:eastAsia="仿宋" w:cs="仿宋"/>
          <w:sz w:val="32"/>
          <w:szCs w:val="32"/>
        </w:rPr>
        <w:t>总结工作经验</w:t>
      </w:r>
      <w:r>
        <w:rPr>
          <w:rFonts w:hint="eastAsia" w:ascii="仿宋" w:hAnsi="仿宋" w:eastAsia="仿宋" w:cs="仿宋"/>
          <w:sz w:val="32"/>
          <w:szCs w:val="32"/>
          <w:lang w:val="en-US" w:eastAsia="zh-CN"/>
        </w:rPr>
        <w:t>的基础上</w:t>
      </w:r>
      <w:r>
        <w:rPr>
          <w:rFonts w:hint="eastAsia" w:ascii="仿宋" w:hAnsi="仿宋" w:eastAsia="仿宋" w:cs="仿宋"/>
          <w:sz w:val="32"/>
          <w:szCs w:val="32"/>
        </w:rPr>
        <w:t>着手开展</w:t>
      </w:r>
      <w:r>
        <w:rPr>
          <w:rFonts w:hint="eastAsia" w:ascii="仿宋" w:hAnsi="仿宋" w:eastAsia="仿宋" w:cs="仿宋"/>
          <w:sz w:val="32"/>
          <w:szCs w:val="32"/>
          <w:lang w:val="en-US" w:eastAsia="zh-CN"/>
        </w:rPr>
        <w:t>制度框架设计与具体内容</w:t>
      </w:r>
      <w:r>
        <w:rPr>
          <w:rFonts w:hint="eastAsia" w:ascii="仿宋" w:hAnsi="仿宋" w:eastAsia="仿宋" w:cs="仿宋"/>
          <w:sz w:val="32"/>
          <w:szCs w:val="32"/>
        </w:rPr>
        <w:t>研究，会同片区综合执法大队、苏州平江历史街区保护整治有限责任公司等多次会商，</w:t>
      </w:r>
      <w:r>
        <w:rPr>
          <w:rFonts w:hint="eastAsia" w:ascii="仿宋" w:hAnsi="仿宋" w:eastAsia="仿宋" w:cs="仿宋"/>
          <w:sz w:val="32"/>
          <w:szCs w:val="32"/>
          <w:lang w:val="en-US" w:eastAsia="zh-CN"/>
        </w:rPr>
        <w:t>形成了</w:t>
      </w:r>
      <w:r>
        <w:rPr>
          <w:rFonts w:hint="eastAsia" w:ascii="仿宋" w:hAnsi="仿宋" w:eastAsia="仿宋" w:cs="仿宋"/>
          <w:sz w:val="32"/>
          <w:szCs w:val="32"/>
        </w:rPr>
        <w:t>《办法》</w:t>
      </w:r>
      <w:r>
        <w:rPr>
          <w:rFonts w:hint="eastAsia" w:ascii="仿宋" w:hAnsi="仿宋" w:eastAsia="仿宋" w:cs="仿宋"/>
          <w:sz w:val="32"/>
          <w:szCs w:val="32"/>
          <w:lang w:val="en-US" w:eastAsia="zh-CN"/>
        </w:rPr>
        <w:t>初</w:t>
      </w:r>
      <w:r>
        <w:rPr>
          <w:rFonts w:hint="eastAsia" w:ascii="仿宋" w:hAnsi="仿宋" w:eastAsia="仿宋" w:cs="仿宋"/>
          <w:sz w:val="32"/>
          <w:szCs w:val="32"/>
        </w:rPr>
        <w:t>稿。</w:t>
      </w:r>
    </w:p>
    <w:p w14:paraId="70522DFC">
      <w:pPr>
        <w:pageBreakBefore w:val="0"/>
        <w:widowControl w:val="0"/>
        <w:kinsoku/>
        <w:wordWrap/>
        <w:overflowPunct/>
        <w:topLinePunct w:val="0"/>
        <w:autoSpaceDE/>
        <w:autoSpaceDN/>
        <w:bidi w:val="0"/>
        <w:spacing w:line="56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2022年</w:t>
      </w:r>
      <w:r>
        <w:rPr>
          <w:rFonts w:hint="eastAsia" w:ascii="仿宋" w:hAnsi="仿宋" w:eastAsia="仿宋" w:cs="仿宋"/>
          <w:sz w:val="32"/>
          <w:szCs w:val="32"/>
        </w:rPr>
        <w:t>11月21日，中共苏州国家历史文化名城保护区工作委员会2022年第65</w:t>
      </w:r>
      <w:r>
        <w:rPr>
          <w:rFonts w:hint="eastAsia" w:ascii="仿宋" w:hAnsi="仿宋" w:eastAsia="仿宋" w:cs="仿宋"/>
          <w:sz w:val="32"/>
          <w:szCs w:val="32"/>
          <w:lang w:val="en-US" w:eastAsia="zh-CN"/>
        </w:rPr>
        <w:t>次</w:t>
      </w:r>
      <w:r>
        <w:rPr>
          <w:rFonts w:hint="eastAsia" w:ascii="仿宋" w:hAnsi="仿宋" w:eastAsia="仿宋" w:cs="仿宋"/>
          <w:sz w:val="32"/>
          <w:szCs w:val="32"/>
        </w:rPr>
        <w:t>会议暨区委常委会专题调研平江街道工作会议召开，会议明确要求对《办法》进一步研究完善</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并强调要严格</w:t>
      </w:r>
      <w:r>
        <w:rPr>
          <w:rFonts w:hint="eastAsia" w:ascii="仿宋" w:hAnsi="仿宋" w:eastAsia="仿宋" w:cs="仿宋"/>
          <w:sz w:val="32"/>
          <w:szCs w:val="32"/>
        </w:rPr>
        <w:t>依法依规执行评估论证、公开征求意见、合法性审核、集体审议决定、向社会公开发布等程序。会后，</w:t>
      </w:r>
      <w:r>
        <w:rPr>
          <w:rFonts w:hint="eastAsia" w:ascii="仿宋" w:hAnsi="仿宋" w:eastAsia="仿宋" w:cs="仿宋"/>
          <w:sz w:val="32"/>
          <w:szCs w:val="32"/>
          <w:lang w:val="en-US" w:eastAsia="zh-CN"/>
        </w:rPr>
        <w:t>起草单位</w:t>
      </w:r>
      <w:r>
        <w:rPr>
          <w:rFonts w:hint="eastAsia" w:ascii="仿宋" w:hAnsi="仿宋" w:eastAsia="仿宋" w:cs="仿宋"/>
          <w:sz w:val="32"/>
          <w:szCs w:val="32"/>
        </w:rPr>
        <w:t>征求了相关单位意见，</w:t>
      </w:r>
      <w:r>
        <w:rPr>
          <w:rFonts w:hint="eastAsia" w:ascii="仿宋" w:hAnsi="仿宋" w:eastAsia="仿宋" w:cs="仿宋"/>
          <w:sz w:val="32"/>
          <w:szCs w:val="32"/>
          <w:lang w:val="en-US" w:eastAsia="zh-CN"/>
        </w:rPr>
        <w:t>并</w:t>
      </w:r>
      <w:r>
        <w:rPr>
          <w:rFonts w:hint="eastAsia" w:ascii="仿宋" w:hAnsi="仿宋" w:eastAsia="仿宋" w:cs="仿宋"/>
          <w:sz w:val="32"/>
          <w:szCs w:val="32"/>
        </w:rPr>
        <w:t>在区古保委、区城管委、区住建委等相关部门的指导下，</w:t>
      </w:r>
      <w:r>
        <w:rPr>
          <w:rFonts w:hint="eastAsia" w:ascii="仿宋" w:hAnsi="仿宋" w:eastAsia="仿宋" w:cs="仿宋"/>
          <w:sz w:val="32"/>
          <w:szCs w:val="32"/>
          <w:lang w:val="en-US" w:eastAsia="zh-CN"/>
        </w:rPr>
        <w:t>进一步梳理管理机构职责与权限，</w:t>
      </w:r>
      <w:r>
        <w:rPr>
          <w:rFonts w:hint="eastAsia" w:ascii="仿宋" w:hAnsi="仿宋" w:eastAsia="仿宋" w:cs="仿宋"/>
          <w:sz w:val="32"/>
          <w:szCs w:val="32"/>
        </w:rPr>
        <w:t>对《办法》进行了</w:t>
      </w:r>
      <w:r>
        <w:rPr>
          <w:rFonts w:hint="eastAsia" w:ascii="仿宋" w:hAnsi="仿宋" w:eastAsia="仿宋" w:cs="仿宋"/>
          <w:sz w:val="32"/>
          <w:szCs w:val="32"/>
          <w:lang w:val="en-US" w:eastAsia="zh-CN"/>
        </w:rPr>
        <w:t>初步</w:t>
      </w:r>
      <w:r>
        <w:rPr>
          <w:rFonts w:hint="eastAsia" w:ascii="仿宋" w:hAnsi="仿宋" w:eastAsia="仿宋" w:cs="仿宋"/>
          <w:sz w:val="32"/>
          <w:szCs w:val="32"/>
        </w:rPr>
        <w:t>完善，</w:t>
      </w:r>
      <w:r>
        <w:rPr>
          <w:rFonts w:hint="eastAsia" w:ascii="仿宋" w:hAnsi="仿宋" w:eastAsia="仿宋" w:cs="仿宋"/>
          <w:sz w:val="32"/>
          <w:szCs w:val="32"/>
          <w:lang w:val="en-US" w:eastAsia="zh-CN"/>
        </w:rPr>
        <w:t>形成第二稿</w:t>
      </w:r>
      <w:r>
        <w:rPr>
          <w:rFonts w:hint="eastAsia" w:ascii="仿宋" w:hAnsi="仿宋" w:eastAsia="仿宋" w:cs="仿宋"/>
          <w:sz w:val="32"/>
          <w:szCs w:val="32"/>
        </w:rPr>
        <w:t>。</w:t>
      </w:r>
    </w:p>
    <w:p w14:paraId="62619942">
      <w:pPr>
        <w:pageBreakBefore w:val="0"/>
        <w:widowControl w:val="0"/>
        <w:kinsoku/>
        <w:wordWrap/>
        <w:overflowPunct/>
        <w:topLinePunct w:val="0"/>
        <w:autoSpaceDE/>
        <w:autoSpaceDN/>
        <w:bidi w:val="0"/>
        <w:spacing w:line="560" w:lineRule="exact"/>
        <w:ind w:firstLine="640"/>
        <w:textAlignment w:val="auto"/>
        <w:rPr>
          <w:rFonts w:hint="default" w:ascii="仿宋" w:hAnsi="仿宋" w:eastAsia="仿宋" w:cs="仿宋"/>
          <w:sz w:val="32"/>
          <w:szCs w:val="32"/>
          <w:lang w:val="en-US"/>
        </w:rPr>
      </w:pPr>
      <w:r>
        <w:rPr>
          <w:rFonts w:hint="eastAsia" w:ascii="仿宋" w:hAnsi="仿宋" w:eastAsia="仿宋" w:cs="仿宋"/>
          <w:sz w:val="32"/>
          <w:szCs w:val="32"/>
          <w:lang w:val="en-US" w:eastAsia="zh-CN"/>
        </w:rPr>
        <w:t>2023年2月，起草单位通过线上、线下两种方式向历史文化街区周边居民、商户、相关管理单位、游客及其他苏州市民发放并回收了调查问卷1609份，通过对调查问卷的综合分析研究，总结各相关主体对《办法》具体制度措施必要性和可行性的意见，以及对进一步提升平江历史文化街区综合管理和服务水平的建议，对《办法》需要解决的问题、拟设立的主要制度和主要措施、预期效果、可能产生的影响等进行了综合评估。2023年3月1日，起草单位组织召开专家论证会，邀请了9名专家对《办法》出台的必要性、可行性、合法性、合理性、廉洁性开展全面论证，并对《办法》的进一步完善和规范提出宝贵的意见。</w:t>
      </w:r>
    </w:p>
    <w:p w14:paraId="5A9EB2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起草单位经进一步研究后充分吸收了评估论证阶段的群众和专家意见，再次对《办法》进行修改，形成征求意见稿。下一步，拟依据</w:t>
      </w:r>
      <w:r>
        <w:rPr>
          <w:rFonts w:hint="eastAsia" w:ascii="仿宋" w:hAnsi="仿宋" w:eastAsia="仿宋" w:cs="仿宋"/>
          <w:sz w:val="32"/>
          <w:szCs w:val="32"/>
        </w:rPr>
        <w:t>《江苏省行政规范性文件管理规定》有关要求，</w:t>
      </w:r>
      <w:r>
        <w:rPr>
          <w:rFonts w:hint="eastAsia" w:ascii="仿宋" w:hAnsi="仿宋" w:eastAsia="仿宋" w:cs="仿宋"/>
          <w:sz w:val="32"/>
          <w:szCs w:val="32"/>
          <w:lang w:val="en-US" w:eastAsia="zh-CN"/>
        </w:rPr>
        <w:t>通过政府网站</w:t>
      </w:r>
      <w:r>
        <w:rPr>
          <w:rFonts w:hint="eastAsia" w:ascii="仿宋" w:hAnsi="仿宋" w:eastAsia="仿宋" w:cs="仿宋"/>
          <w:sz w:val="32"/>
          <w:szCs w:val="32"/>
        </w:rPr>
        <w:t>向社会公众公开征求意见。</w:t>
      </w:r>
    </w:p>
    <w:p w14:paraId="4DDC6177">
      <w:pPr>
        <w:pStyle w:val="2"/>
        <w:pageBreakBefore w:val="0"/>
        <w:widowControl w:val="0"/>
        <w:kinsoku/>
        <w:wordWrap/>
        <w:overflowPunct/>
        <w:topLinePunct w:val="0"/>
        <w:autoSpaceDE/>
        <w:autoSpaceDN/>
        <w:bidi w:val="0"/>
        <w:spacing w:line="560" w:lineRule="exact"/>
        <w:ind w:firstLine="643" w:firstLineChars="200"/>
        <w:jc w:val="both"/>
        <w:textAlignment w:val="auto"/>
        <w:rPr>
          <w:rFonts w:hint="eastAsia" w:ascii="仿宋" w:hAnsi="仿宋" w:eastAsia="仿宋" w:cs="仿宋"/>
          <w:b/>
          <w:bCs w:val="0"/>
          <w:kern w:val="2"/>
          <w:sz w:val="32"/>
          <w:szCs w:val="32"/>
        </w:rPr>
      </w:pPr>
      <w:r>
        <w:rPr>
          <w:rFonts w:hint="eastAsia" w:ascii="仿宋" w:hAnsi="仿宋" w:eastAsia="仿宋" w:cs="仿宋"/>
          <w:b/>
          <w:bCs w:val="0"/>
          <w:kern w:val="2"/>
          <w:sz w:val="32"/>
          <w:szCs w:val="32"/>
          <w:lang w:val="en-US" w:eastAsia="zh-CN"/>
        </w:rPr>
        <w:t>三</w:t>
      </w:r>
      <w:r>
        <w:rPr>
          <w:rFonts w:hint="eastAsia" w:ascii="仿宋" w:hAnsi="仿宋" w:eastAsia="仿宋" w:cs="仿宋"/>
          <w:b/>
          <w:bCs w:val="0"/>
          <w:kern w:val="2"/>
          <w:sz w:val="32"/>
          <w:szCs w:val="32"/>
        </w:rPr>
        <w:t>、法律法规政策依据</w:t>
      </w:r>
    </w:p>
    <w:p w14:paraId="7D3E21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文件制定程序依据《江苏省行政规范性文件管理规定》，内容起草依据</w:t>
      </w:r>
      <w:r>
        <w:rPr>
          <w:rFonts w:hint="eastAsia" w:ascii="仿宋" w:hAnsi="仿宋" w:eastAsia="仿宋" w:cs="仿宋"/>
          <w:b w:val="0"/>
          <w:bCs w:val="0"/>
          <w:sz w:val="32"/>
          <w:szCs w:val="32"/>
          <w:lang w:eastAsia="zh-CN"/>
        </w:rPr>
        <w:t>《优化营商环境条例》</w:t>
      </w:r>
      <w:r>
        <w:rPr>
          <w:rFonts w:hint="eastAsia" w:ascii="仿宋" w:hAnsi="仿宋" w:eastAsia="仿宋" w:cs="仿宋"/>
          <w:sz w:val="32"/>
          <w:szCs w:val="32"/>
          <w:lang w:val="en-US" w:eastAsia="zh-CN"/>
        </w:rPr>
        <w:t>《历史文化名城名镇名村保护条例》《江苏省城市市容和环境卫生管理条例》《苏州国家历史文化名城保护条例》《苏州平江历史文化街区保护规划》《苏州市历史文化名城名镇保护办法》《苏州市城市管理相对集中行政处罚权实施办法》等法律、法规、规章及规范性文件。</w:t>
      </w:r>
    </w:p>
    <w:p w14:paraId="04B8BB7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val="0"/>
          <w:kern w:val="2"/>
          <w:sz w:val="32"/>
          <w:szCs w:val="32"/>
          <w:lang w:val="en-US" w:eastAsia="zh-CN"/>
        </w:rPr>
      </w:pPr>
      <w:r>
        <w:rPr>
          <w:rFonts w:hint="eastAsia" w:ascii="仿宋" w:hAnsi="仿宋" w:eastAsia="仿宋" w:cs="仿宋"/>
          <w:b/>
          <w:bCs w:val="0"/>
          <w:kern w:val="2"/>
          <w:sz w:val="32"/>
          <w:szCs w:val="32"/>
          <w:lang w:val="en-US" w:eastAsia="zh-CN"/>
        </w:rPr>
        <w:t>四、主要内容</w:t>
      </w:r>
    </w:p>
    <w:p w14:paraId="29C462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《办法》共八章三十六条，主要包括总则、管理机制、营商环境、城市管理、商业促进、物业服务、监管机制、保障机制、附则等内容。</w:t>
      </w:r>
    </w:p>
    <w:p w14:paraId="03AF67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第一章“总则”，主要是对《办法》的制定目的、适用范围、管理原则、功能定位等作出规定，明确街区管理遵循“属地统一管理、协同高效配合、共建共治</w:t>
      </w:r>
      <w:bookmarkStart w:id="0" w:name="_GoBack"/>
      <w:bookmarkEnd w:id="0"/>
      <w:r>
        <w:rPr>
          <w:rFonts w:hint="eastAsia" w:ascii="仿宋" w:hAnsi="仿宋" w:eastAsia="仿宋" w:cs="仿宋"/>
          <w:b w:val="0"/>
          <w:bCs/>
          <w:kern w:val="2"/>
          <w:sz w:val="32"/>
          <w:szCs w:val="32"/>
          <w:lang w:val="en-US" w:eastAsia="zh-CN"/>
        </w:rPr>
        <w:t>共享”的原则，打造文商旅居融合发展的苏式生活体验区、历史文化展示区和全域旅游先导区。</w:t>
      </w:r>
    </w:p>
    <w:p w14:paraId="4B75FB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第二章“管理机制”，主要是对历史街区的领导协调机制、管理职责、管理力量、产权单位职责、市场化管理、社会化管理作出规定，进一步明确各主体职责范围，市场化及社会化管理的具体路径。</w:t>
      </w:r>
    </w:p>
    <w:p w14:paraId="060F11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第三章“营商环境”，主要是包容审慎监管、绿色低碳发展、风貌和“非遗”文化保护、协会管理、法治建设等相关原则性规定，明确历史街区营商环境优化的重点方向。</w:t>
      </w:r>
    </w:p>
    <w:p w14:paraId="5DAB7D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第四章“城市管理”，主要是对历史街区的市容秩序、交通管理、停车管理、基础设施、安全生产、应急处置、禁止性行为、限制性行为等作出规定，明确沿街店铺外立面要求，道路管制措施，并列出禁止性和限制性行为的具体规定。</w:t>
      </w:r>
    </w:p>
    <w:p w14:paraId="22DCC4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第五章“商业促进”，主要是对历史街区的产业提升、协同管理、协会管理、禁止性经营行为、限制性经营行为等作出规定，明确产业提升方向，要求建立协同管理机制，并对经营行为进行约束。</w:t>
      </w:r>
    </w:p>
    <w:p w14:paraId="00A6E4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第六章“物业服务”，主要是明确第三方物业的服务定位、服务清单、物业费用、特色服务等，充分发挥第三方物业等市场主体的主观能动性，探索开放式街区物业管理服务。</w:t>
      </w:r>
    </w:p>
    <w:p w14:paraId="1667F060">
      <w:pPr>
        <w:pStyle w:val="2"/>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第七章“监管机制”，主要是对历史街区的治安管理、交通管理、综合治理、市场监管、其他执法等方面予以分类明确。</w:t>
      </w:r>
    </w:p>
    <w:p w14:paraId="04466CE4">
      <w:pPr>
        <w:pStyle w:val="2"/>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第八章“保障机制”，主要包括资金保障和考核机制。</w:t>
      </w:r>
    </w:p>
    <w:p w14:paraId="37E0BD97">
      <w:pPr>
        <w:pStyle w:val="2"/>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 w:hAnsi="仿宋" w:eastAsia="仿宋" w:cs="仿宋"/>
          <w:b w:val="0"/>
          <w:bCs/>
          <w:kern w:val="2"/>
          <w:sz w:val="32"/>
          <w:szCs w:val="32"/>
          <w:lang w:val="en-US" w:eastAsia="zh-CN"/>
        </w:rPr>
      </w:pPr>
      <w:r>
        <w:rPr>
          <w:rFonts w:hint="eastAsia" w:ascii="仿宋" w:hAnsi="仿宋" w:eastAsia="仿宋" w:cs="仿宋"/>
          <w:b w:val="0"/>
          <w:bCs/>
          <w:kern w:val="2"/>
          <w:sz w:val="32"/>
          <w:szCs w:val="32"/>
          <w:lang w:val="en-US" w:eastAsia="zh-CN"/>
        </w:rPr>
        <w:t>第九章“附则”，主要是明确《办法》的施行期间。</w:t>
      </w:r>
    </w:p>
    <w:p w14:paraId="4FF52736">
      <w:pPr>
        <w:pStyle w:val="2"/>
        <w:pageBreakBefore w:val="0"/>
        <w:widowControl w:val="0"/>
        <w:kinsoku/>
        <w:wordWrap/>
        <w:overflowPunct/>
        <w:topLinePunct w:val="0"/>
        <w:autoSpaceDE/>
        <w:autoSpaceDN/>
        <w:bidi w:val="0"/>
        <w:spacing w:line="560" w:lineRule="exact"/>
        <w:ind w:firstLine="643" w:firstLineChars="200"/>
        <w:jc w:val="both"/>
        <w:textAlignment w:val="auto"/>
        <w:rPr>
          <w:rFonts w:hint="default" w:ascii="仿宋" w:hAnsi="仿宋" w:eastAsia="仿宋" w:cs="仿宋"/>
          <w:b/>
          <w:bCs w:val="0"/>
          <w:kern w:val="2"/>
          <w:sz w:val="32"/>
          <w:szCs w:val="32"/>
          <w:lang w:val="en-US" w:eastAsia="zh-CN"/>
        </w:rPr>
      </w:pPr>
      <w:r>
        <w:rPr>
          <w:rFonts w:hint="eastAsia" w:ascii="仿宋" w:hAnsi="仿宋" w:eastAsia="仿宋" w:cs="仿宋"/>
          <w:b/>
          <w:bCs w:val="0"/>
          <w:kern w:val="2"/>
          <w:sz w:val="32"/>
          <w:szCs w:val="32"/>
          <w:lang w:val="en-US" w:eastAsia="zh-CN"/>
        </w:rPr>
        <w:t>五、评估论证结论</w:t>
      </w:r>
    </w:p>
    <w:p w14:paraId="58D4E8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办法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的出台是实现平江历史文化街区保护与发展相协调的现实需要，是打造特色</w:t>
      </w:r>
      <w:r>
        <w:rPr>
          <w:rFonts w:hint="eastAsia" w:ascii="仿宋" w:hAnsi="仿宋" w:eastAsia="仿宋" w:cs="仿宋"/>
          <w:sz w:val="32"/>
          <w:szCs w:val="32"/>
        </w:rPr>
        <w:t>复合型街区</w:t>
      </w:r>
      <w:r>
        <w:rPr>
          <w:rFonts w:hint="eastAsia" w:ascii="仿宋" w:hAnsi="仿宋" w:eastAsia="仿宋" w:cs="仿宋"/>
          <w:sz w:val="32"/>
          <w:szCs w:val="32"/>
          <w:lang w:val="en-US" w:eastAsia="zh-CN"/>
        </w:rPr>
        <w:t>的经验总结，是探索优化营商环境具体措施的先试先行，具有充分的必要性；内容方面全面务实，体现平江历史文化街区的特色，具有较强的可行性；制定与起草主体适格，内容总体符合国家法律法规规章等上位法以及上位行政规范性文件的规定，符合合法性要求；制度设计和配套措施充分考虑了保护、发展与居民生活舒适性的平衡与统一，兼顾了合理性要求；制度建设遵循公开、公平、公正的原则，权力结构及配置科学合理，未见违反廉洁性要求的情形。</w:t>
      </w:r>
    </w:p>
    <w:p w14:paraId="115C08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从文件出台的目的看，《办法》拟解决历史文化街区管理要素复杂、产权分散、执法主体众多、缺乏明确的议事协调机构等问题，拟明确</w:t>
      </w:r>
      <w:r>
        <w:rPr>
          <w:rFonts w:hint="eastAsia" w:ascii="仿宋" w:hAnsi="仿宋" w:eastAsia="仿宋" w:cs="仿宋"/>
          <w:sz w:val="32"/>
          <w:szCs w:val="32"/>
          <w:lang w:val="en-US" w:eastAsia="zh-Hans"/>
        </w:rPr>
        <w:t>拙政园历史文化片区管理办公室</w:t>
      </w:r>
      <w:r>
        <w:rPr>
          <w:rFonts w:hint="eastAsia" w:ascii="仿宋" w:hAnsi="仿宋" w:eastAsia="仿宋" w:cs="仿宋"/>
          <w:sz w:val="32"/>
          <w:szCs w:val="32"/>
          <w:lang w:val="en-US" w:eastAsia="zh-CN"/>
        </w:rPr>
        <w:t>的协调机构地位，试点引入第三方市场主体从事提供相关专业服务，充分发挥基层群众组织、志愿团队、行业协会等社会化力量，并理顺现有执法力量之间的关系，增强社会治理效能。通过对多方力量的协调，将有效提升历史文化街区保护和发展升级的速度和质量。</w:t>
      </w:r>
    </w:p>
    <w:p w14:paraId="6382A4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办法》内容未见违反市场准入与退出标准的情形、未见违反商品要素自由流通标准的情形、未见违反影响生产经营成本标准的情形、未见违反影响生产经营行为标准的情形，未违法减损市场主体合法权益或者增加其义务，未违反《反垄断法》制定含有排除竞争内容的政策措施；《办法》并未违反公平竞争审查相关规定。</w:t>
      </w:r>
    </w:p>
    <w:p w14:paraId="7C9D0B61">
      <w:pPr>
        <w:pStyle w:val="2"/>
        <w:pageBreakBefore w:val="0"/>
        <w:widowControl w:val="0"/>
        <w:kinsoku/>
        <w:wordWrap/>
        <w:overflowPunct/>
        <w:topLinePunct w:val="0"/>
        <w:autoSpaceDE/>
        <w:autoSpaceDN/>
        <w:bidi w:val="0"/>
        <w:spacing w:line="560" w:lineRule="exact"/>
        <w:ind w:firstLine="643" w:firstLineChars="200"/>
        <w:jc w:val="both"/>
        <w:textAlignment w:val="auto"/>
        <w:rPr>
          <w:rFonts w:hint="eastAsia" w:ascii="仿宋" w:hAnsi="仿宋" w:eastAsia="仿宋" w:cs="仿宋"/>
          <w:b/>
          <w:bCs w:val="0"/>
          <w:kern w:val="2"/>
          <w:sz w:val="32"/>
          <w:szCs w:val="32"/>
          <w:lang w:val="en-US" w:eastAsia="zh-CN"/>
        </w:rPr>
      </w:pPr>
      <w:r>
        <w:rPr>
          <w:rFonts w:hint="eastAsia" w:ascii="仿宋" w:hAnsi="仿宋" w:eastAsia="仿宋" w:cs="仿宋"/>
          <w:b/>
          <w:bCs w:val="0"/>
          <w:kern w:val="2"/>
          <w:sz w:val="32"/>
          <w:szCs w:val="32"/>
          <w:lang w:val="en-US" w:eastAsia="zh-CN"/>
        </w:rPr>
        <w:t>六、其他事项</w:t>
      </w:r>
    </w:p>
    <w:p w14:paraId="1D736B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《办法》经公开征求意见后，将依法提交政府法制部门进行合法性审核，审核通过后报姑苏区人民政府常务会议集体审议决定，并及时向社会公布。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1" w:fontKey="{1F1F7916-8F22-4FE8-BA9C-32881F10D640}"/>
  </w:font>
  <w:font w:name="仿宋">
    <w:panose1 w:val="02010609060101010101"/>
    <w:charset w:val="86"/>
    <w:family w:val="auto"/>
    <w:pitch w:val="default"/>
    <w:sig w:usb0="800002BF" w:usb1="38CF7CFA" w:usb2="00000016" w:usb3="00000000" w:csb0="00040001" w:csb1="00000000"/>
    <w:embedRegular r:id="rId2" w:fontKey="{A4A81BE1-458B-43E8-895D-E997B0A4379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hMzA3ZTk2MWNiMzQ3YzkzMjZmZWMxNWZiYTkxNTEifQ=="/>
    <w:docVar w:name="KSO_WPS_MARK_KEY" w:val="1bb2e709-8fc3-4cd2-ad7d-c29efa57d0c2"/>
  </w:docVars>
  <w:rsids>
    <w:rsidRoot w:val="2A2D63FA"/>
    <w:rsid w:val="00C51C5E"/>
    <w:rsid w:val="147E306D"/>
    <w:rsid w:val="14A970D5"/>
    <w:rsid w:val="15F230E6"/>
    <w:rsid w:val="1A3C224D"/>
    <w:rsid w:val="1DAB6A06"/>
    <w:rsid w:val="28377363"/>
    <w:rsid w:val="2A2D63FA"/>
    <w:rsid w:val="35971687"/>
    <w:rsid w:val="37E947C9"/>
    <w:rsid w:val="39D2560D"/>
    <w:rsid w:val="42213B26"/>
    <w:rsid w:val="4DD918D9"/>
    <w:rsid w:val="5C11690F"/>
    <w:rsid w:val="661956A7"/>
    <w:rsid w:val="68C47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ind w:firstLine="0" w:firstLineChars="0"/>
      <w:jc w:val="center"/>
      <w:outlineLvl w:val="0"/>
    </w:pPr>
    <w:rPr>
      <w:rFonts w:eastAsia="方正小标宋简体"/>
      <w:bCs/>
      <w:kern w:val="44"/>
      <w:sz w:val="44"/>
      <w:szCs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5">
    <w:name w:val="Normal (Web)"/>
    <w:basedOn w:val="1"/>
    <w:unhideWhenUsed/>
    <w:qFormat/>
    <w:uiPriority w:val="99"/>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2729</Words>
  <Characters>2756</Characters>
  <Lines>0</Lines>
  <Paragraphs>0</Paragraphs>
  <TotalTime>1</TotalTime>
  <ScaleCrop>false</ScaleCrop>
  <LinksUpToDate>false</LinksUpToDate>
  <CharactersWithSpaces>2757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2023-02-21T11:08:00Z</dcterms:created>
  <dc:creator>墨祈</dc:creator>
  <cp:lastModifiedBy>施天仁</cp:lastModifiedBy>
  <dcterms:modified xsi:type="dcterms:W3CDTF">2025-05-24T23:03:27Z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2647BB8199764B2183D9E66E281C05D5</vt:lpwstr>
  </property>
  <property fmtid="{D5CDD505-2E9C-101B-9397-08002B2CF9AE}" pid="4" name="KSOTemplateDocerSaveRecord">
    <vt:lpwstr>eyJoZGlkIjoiZDNhMWE2NjUwZWYyYmVkMDg1MmI1YWU4ZDJkMmQ3MTYiLCJ1c2VySWQiOiIzMzI4NjI5OTYifQ==</vt:lpwstr>
  </property>
</Properties>
</file>