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苏州市姑苏区疾病预防控制中心</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（一）开展传染病、慢性非传染性疾病、血吸虫病、地方病、寄生虫病等疾病的预防控制工作。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（二）开展突发公共卫生事件监测和处置工作。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（三）负责疫情及健康相关因素信息管理。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（四）开展健康危害因素监测与干预工作。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（五）开展健康教育和健康促进活动。</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（六）提供实验室检测检验与评价服务。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（七）对基层卫生服务机构的疾病预防控制工作进行指导和考核评价。</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办公室、科教人事科、公共卫生应急办公室（综合业务管理办公室）、传染病防治科、免疫规划管理科、性病艾滋病防治科、血地寄慢病科、健康教育科、公共卫生科、检验科。</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（一）聚焦传染病监测预警能力提升。</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一是重点传染病防控。二是扎实做好传染病监测。</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（二）筑牢公共卫生安全防线。</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一是做好公共卫生监测。二是稳步开展儿童口腔健康幸福工程。</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（三）推动血地寄、慢病防治惠民。</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一是慢病管理情况。二是姑苏区40岁以上人群肺功能检测。三是国家脑卒中高危人群筛查与干预项目。</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（四）促进免疫规划提质增效。</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（五）落实性病、艾滋病服务保障。</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（六）强化健康教育与健康促进。</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（七）加强检验检测能力建设。</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（八）聚焦应急处置能力建设。</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苏州市姑苏区疾病预防控制中心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苏州市姑苏区疾病预防控制中心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4,462.83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26.68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348.47</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3,184.75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902.92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4,462.83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4,462.83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4,462.83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4,462.83</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4,462.83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4,462.83</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26.68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26.68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技术研究与开发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21.68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21.68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科技成果转化与扩散</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21.68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21.68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348.47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348.47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2080116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引进人才费用</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46.23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46.23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46.23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46.23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270.92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270.92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48.49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48.49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148.29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148.29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74.14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74.14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13.12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13.12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3,184.75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3,184.75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3,064.53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3,064.53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2,830.15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2,830.15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卫生监督机构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16.92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16.92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217.46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217.46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100.22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100.22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100.22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100.22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902.92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902.92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902.92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902.92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270.03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270.03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208.54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208.54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424.36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424.36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4,462.83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3,472.30</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990.52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26.68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26.68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技术研究与开发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21.68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21.68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科技成果转化与扩散</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21.68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21.68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348.47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270.92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77.55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人力资源和社会保障管理事务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18.20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2080116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引进人才费用</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18.20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46.23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46.23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46.23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46.23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270.92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270.92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48.49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48.49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148.29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148.29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74.14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74.14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13.12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13.12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13.12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13.12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3,184.75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2,298.46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886.29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3,064.53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2,298.46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766.07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2,830.15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2,298.46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531.69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卫生监督机构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16.92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16.92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217.46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217.46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100.22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100.22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100.22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100.22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902.92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902.92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902.92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902.92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270.03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270.03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208.54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208.54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424.36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424.36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4,462.83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26.68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26.68</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348.47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348.47</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3,184.75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3,184.75</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902.92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902.92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4,462.83</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4,462.83</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4,462.83</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4,462.83</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4,462.83</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4,462.83</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4,462.83</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3,472.30</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990.52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26.68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26.68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技术研究与开发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21.68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21.68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科技成果转化与扩散</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21.68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21.68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348.47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270.92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77.55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2080116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引进人才费用</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46.23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46.23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46.23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46.23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270.92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270.92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48.49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48.49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148.29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148.29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74.14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74.14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13.12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13.12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3,184.75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2,298.46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886.29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3,064.53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2,298.46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766.07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2,830.15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2,298.46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531.69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卫生监督机构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16.92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16.92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217.46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217.46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100.22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100.22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100.22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100.22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902.92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902.92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902.92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902.92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270.03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270.03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208.54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208.54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424.36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424.36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3,472.30</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3,228.18</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244.12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3,077.28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3,077.28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457.11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457.11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620.69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620.69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1,326.13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1,326.13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148.29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148.29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74.14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74.14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70.34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70.34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13.90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13.90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270.03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270.03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22.75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22.75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73.92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73.92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244.12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244.12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12.91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12.91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29.91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29.91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13.00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75.13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75.13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57.82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57.82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0.10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0.59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3.40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12.90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12.90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30.04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30.04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150.90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150.90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57.18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57.18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77.68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77.68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6.15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6.15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6.44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6.44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3.45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4,462.83</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3,472.30</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990.52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26.68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26.68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技术研究与开发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21.68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21.68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科技成果转化与扩散</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21.68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21.68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348.47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270.92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77.55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2080116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引进人才费用</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46.23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46.23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46.23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46.23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270.92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270.92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48.49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48.49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148.29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148.29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74.14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74.14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13.12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13.12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13.12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13.12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3,184.75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2,298.46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886.29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3,064.53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2,298.46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766.07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2,830.15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2,298.46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531.69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卫生监督机构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16.92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16.92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217.46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217.46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100.22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100.22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100.22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100.22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902.92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902.92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902.92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902.92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270.03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270.03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208.54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208.54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424.36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424.36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3,472.30</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3,228.18</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244.12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3,077.28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3,077.28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457.11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457.11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620.69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620.69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1,326.13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1,326.13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148.29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148.29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74.14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74.14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70.34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70.34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13.90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13.90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270.03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270.03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22.75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22.75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73.92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73.92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244.12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244.12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12.91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12.91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3.33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29.91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29.91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13.00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75.13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75.13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57.82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57.82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0.59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0.59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3.40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12.90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12.90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30.04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30.04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150.90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150.90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57.18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57.18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77.68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77.68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6.15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6.15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6.44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6.44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3.45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12.90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12.90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12.90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0.59</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12.90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12.90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12.90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0.59</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8</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60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872</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苏州市姑苏区疾病预防控制中心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193.40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193.40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115.50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2025年度收入、支出决算总计4,462.83万元。与上年相比，收、支总计各减少39.61万元，减少0.88%。其中：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（一）收入决算总计4,462.83万元。包括：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1.本年收入决算合计4,462.83万元。与上年相比，减少39.61万元，减少0.88%，变动原因：原儿童口腔健康幸福工程中110万元纳入主管部门预算。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（二）支出决算总计4,462.83万元。包括：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1.本年支出决算合计4,462.83万元。与上年相比，减少39.61万元，减少0.88%，变动原因：原儿童口腔健康幸福工程中110万元纳入主管部门预算。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4,462.83万元，其中：财政拨款收入4,462.83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2025年度本年支出决算合计4,462.83万元，其中：基本支出3,472.3万元，占77.81%；项目支出990.52万元，占22.19%；上缴上级支出0万元，占0%；经营支出0万元，占0%；对附属单位补助支出0万元，占0%。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2025年度财政拨款收入、支出决算总计4,462.83万元。与上年相比，收、支总计各减少39.61万元，减少0.88%，变动原因：原儿童口腔健康幸福工程中110万元纳入主管部门预算。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2025年度财政拨款支出决算4,462.83万元，占本年支出合计的100%。与2025年度财政拨款支出年初预算3,884.84万元相比，完成年初预算的114.88%。其中：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（一）科学技术支出（类）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1.技术研究与开发（款）科技成果转化与扩散（项）。年初预算22.06万元，支出决算21.68万元，完成年初预算的98.28%。决算数与年初预算数的差异原因：按实际发生金额支付。</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2.其他科学技术支出（款）其他科学技术支出（项）。年初预算0万元，支出决算5万元，（年初预算数为0万元，无法计算完成比率）决算数与年初预算数的差异原因：上级下拨资金。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1.人力资源和社会保障管理事务（款）引进人才费用（项）。年初预算0万元，支出决算18.2万元，（年初预算数为0万元，无法计算完成比率）决算数与年初预算数的差异原因：上级下拨资金。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2.民政管理事务（款）一般行政管理事务（项）。年初预算0万元，支出决算46.23万元，（年初预算数为0万元，无法计算完成比率）决算数与年初预算数的差异原因：上级下拨资金。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3.行政事业单位养老支出（款）事业单位离退休（项）。年初预算44.05万元，支出决算48.49万元，完成年初预算的110.08%。决算数与年初预算数的差异原因：基数调整。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4.行政事业单位养老支出（款）机关事业单位基本养老保险缴费支出（项）。年初预算156.97万元，支出决算148.29万元，完成年初预算的94.47%。决算数与年初预算数的差异原因：人员退休。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5.行政事业单位养老支出（款）机关事业单位职业年金缴费支出（项）。年初预算78.49万元，支出决算74.14万元，完成年初预算的94.46%。决算数与年初预算数的差异原因：人员退休。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6.抚恤（款）死亡抚恤（项）。年初预算0万元，支出决算13.12万元，（年初预算数为0万元，无法计算完成比率）决算数与年初预算数的差异原因：退休人员去世。</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1.基层医疗卫生机构（款）城市社区卫生机构（项）。年初预算0万元，支出决算20万元，（年初预算数为0万元，无法计算完成比率）决算数与年初预算数的差异原因：上级下拨资金。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2.公共卫生（款）疾病预防控制机构（项）。年初预算2,812.43万元，支出决算2,830.15万元，完成年初预算的100.63%。决算数与年初预算数的差异原因：人员经费调整。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3.公共卫生（款）卫生监督机构（项）。年初预算0万元，支出决算16.92万元，（年初预算数为0万元，无法计算完成比率）决算数与年初预算数的差异原因：上级下拨资金。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4.公共卫生（款）重大公共卫生服务（项）。年初预算0万元，支出决算217.46万元，（年初预算数为0万元，无法计算完成比率）决算数与年初预算数的差异原因：上级下拨资金。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5.其他卫生健康支出（款）其他卫生健康支出（项）。年初预算0万元，支出决算100.22万元，（年初预算数为0万元，无法计算完成比率）决算数与年初预算数的差异原因：上级下拨资金。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1.住房改革支出（款）住房公积金（项）。年初预算230.8万元，支出决算270.03万元，完成年初预算的117%。决算数与年初预算数的差异原因：基数调整。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2.住房改革支出（款）提租补贴（项）。年初预算214.41万元，支出决算208.54万元，完成年初预算的97.26%。决算数与年初预算数的差异原因：人员去世。</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3.住房改革支出（款）购房补贴（项）。年初预算325.63万元，支出决算424.36万元，完成年初预算的130.32%。决算数与年初预算数的差异原因：基数调整。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2025年度财政拨款基本支出决算3,472.3万元，其中：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（一）人员经费3,228.18万元。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其他工资福利支出、离休费、退休费、生活补助、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（二）公用经费244.12万元。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主要包括：办公费、印刷费、电费、邮电费、物业管理费、差旅费、维修（护）费、培训费、专用材料费、委托业务费、公务用车运行维护费、其他商品和服务支出。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2025年度一般公共预算财政拨款支出决算4,462.83万元。与上年相比，减少39.61万元，减少0.88%，变动原因：原儿童口腔健康幸福工程中110万元纳入主管部门预算。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2025年度一般公共预算财政拨款基本支出决算3,472.3万元，其中：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（一）人员经费3,228.18万元。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其他工资福利支出、离休费、退休费、生活补助、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（二）公用经费244.12万元。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主要包括：办公费、印刷费、电费、邮电费、物业管理费、差旅费、维修（护）费、培训费、专用材料费、委托业务费、公务用车运行维护费、其他商品和服务支出。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12.9万元（其中：一般公共预算支出12.9万元；政府性基金预算支出0万元；国有资本经营预算支出0万元）。与上年相比，减少17.16万元，变动原因：未购置公务用车。其中，因公出国（境）费支出0万元，占“三公”经费的0%；公务用车购置及运行维护费支出12.9万元，占“三公”经费的100%；公务接待费支出0万元，占“三公”经费的0%。2025年度财政拨款“三公”经费支出预算12.9万元（其中：一般公共预算支出12.9万元；政府性基金预算支出0万元；国有资本经营预算支出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12.9万元（其中：一般公共预算支出12.9万元；政府性基金预算支出0万元；国有资本经营预算支出0万元），支出决算12.9万元（其中：一般公共预算支出12.9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12.9万元。公务用车运行维护费主要用于按规定保留的公务用车的燃料费、维修费、过桥过路费、保险费、安全奖励费用等支出。截至2025年12月31日，使用财政拨款开支的公务用车保有量为8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0.59万元（其中：一般公共预算支出0.59万元；政府性基金预算支出0万元；国有资本经营预算支出0万元），支出决算0.59万元（其中：一般公共预算支出0.59万元；政府性基金预算支出0万元；国有资本经营预算支出0万元），完成调整后预算的100%，决算数与预算数相同。2025年度全年组织培训60个，组织培训872人次，开支内容：继续教育培训、检验检测工作质量管理培训、操作证培训、预防接种新上岗培训、健康教育工作培训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193.4万元，其中：政府采购货物支出193.4万元、政府采购工程支出0万元、政府采购服务支出0万元。政府采购授予中小企业合同金额115.5万元，占政府采购支出总额的59.72%，其中：授予小微企业合同金额0万元，占授予中小企业合同金额的0%。</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8辆，其中：副部(省)级及以上领导用车0辆、主要负责人用车0辆、机要通信用车0辆、应急保障用车0辆、执法执勤用车0辆、特种专业技术用车0辆、离退休干部用车0辆、其他用车8辆；单价100万元（含）以上的设备3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本单位共对上年度已实施完成的9个项目开展了绩效自评价，涉及财政性资金合计553.36万元；本单位共开展1项单位整体支出绩效自评价，涉及财政性资金合计4,025.66万元。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二十、科学技术支出(类)其他科学技术支出(款)其他科学技术支出(项)</w:t>
      </w:r>
      <w:r>
        <w:rPr>
          <w:b w:val="on"/>
          <w:rFonts w:ascii="仿宋" w:eastAsia="仿宋" w:hAnsi="仿宋" w:cs="仿宋"/>
          <w:u w:color="auto"/>
        </w:rPr>
        <w:t>：</w:t>
      </w:r>
      <w:r>
        <w:rPr>
          <w:rFonts w:hint="eastAsia" w:ascii="仿宋" w:hAnsi="仿宋" w:eastAsia="仿宋" w:cs="仿宋"/>
        </w:rPr>
        <w:t>反映其他科学技术支出中除以上各项外用于科技方面的支出。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二十一、社会保障和就业支出(类)人力资源和社会保障管理事务(款)引进人才费用(项)</w:t>
      </w:r>
      <w:r>
        <w:rPr>
          <w:b w:val="on"/>
          <w:rFonts w:ascii="仿宋" w:eastAsia="仿宋" w:hAnsi="仿宋" w:cs="仿宋"/>
          <w:u w:color="auto"/>
        </w:rPr>
        <w:t>：</w:t>
      </w:r>
      <w:r>
        <w:rPr>
          <w:rFonts w:hint="eastAsia" w:ascii="仿宋" w:hAnsi="仿宋" w:eastAsia="仿宋" w:cs="仿宋"/>
        </w:rPr>
        <w:t>反映用于引进外国专家补助、引智成果推广等方面的支出。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二十二、社会保障和就业支出(类)民政管理事务(款)一般行政管理事务(项)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二十三、社会保障和就业支出(类)行政事业单位养老支出(款)事业单位离退休(项)</w:t>
      </w:r>
      <w:r>
        <w:rPr>
          <w:b w:val="on"/>
          <w:rFonts w:ascii="仿宋" w:eastAsia="仿宋" w:hAnsi="仿宋" w:cs="仿宋"/>
          <w:u w:color="auto"/>
        </w:rPr>
        <w:t>：</w:t>
      </w:r>
      <w:r>
        <w:rPr>
          <w:rFonts w:hint="eastAsia" w:ascii="仿宋" w:hAnsi="仿宋" w:eastAsia="仿宋" w:cs="仿宋"/>
        </w:rPr>
        <w:t>反映事业单位开支的离退休经费。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二十七、卫生健康支出(类)基层医疗卫生机构(款)城市社区卫生机构(项)</w:t>
      </w:r>
      <w:r>
        <w:rPr>
          <w:b w:val="on"/>
          <w:rFonts w:ascii="仿宋" w:eastAsia="仿宋" w:hAnsi="仿宋" w:cs="仿宋"/>
          <w:u w:color="auto"/>
        </w:rPr>
        <w:t>：</w:t>
      </w:r>
      <w:r>
        <w:rPr>
          <w:rFonts w:hint="eastAsia" w:ascii="仿宋" w:hAnsi="仿宋" w:eastAsia="仿宋" w:cs="仿宋"/>
        </w:rPr>
        <w:t>反映用于城市社区卫生机构的支出。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二十八、卫生健康支出(类)公共卫生(款)疾病预防控制机构(项)</w:t>
      </w:r>
      <w:r>
        <w:rPr>
          <w:b w:val="on"/>
          <w:rFonts w:ascii="仿宋" w:eastAsia="仿宋" w:hAnsi="仿宋" w:cs="仿宋"/>
          <w:u w:color="auto"/>
        </w:rPr>
        <w:t>：</w:t>
      </w:r>
      <w:r>
        <w:rPr>
          <w:rFonts w:hint="eastAsia" w:ascii="仿宋" w:hAnsi="仿宋" w:eastAsia="仿宋" w:cs="仿宋"/>
        </w:rPr>
        <w:t>反映卫生健康、疾病预防控制部门所属疾病预防控制机构的支出。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二十九、卫生健康支出(类)公共卫生(款)卫生监督机构(项)</w:t>
      </w:r>
      <w:r>
        <w:rPr>
          <w:b w:val="on"/>
          <w:rFonts w:ascii="仿宋" w:eastAsia="仿宋" w:hAnsi="仿宋" w:cs="仿宋"/>
          <w:u w:color="auto"/>
        </w:rPr>
        <w:t>：</w:t>
      </w:r>
      <w:r>
        <w:rPr>
          <w:rFonts w:hint="eastAsia" w:ascii="仿宋" w:hAnsi="仿宋" w:eastAsia="仿宋" w:cs="仿宋"/>
        </w:rPr>
        <w:t>反映卫生健康、疾病预防控制部门所属卫生监督机构的支出。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三十、卫生健康支出(类)公共卫生(款)重大公共卫生服务(项)</w:t>
      </w:r>
      <w:r>
        <w:rPr>
          <w:b w:val="on"/>
          <w:rFonts w:ascii="仿宋" w:eastAsia="仿宋" w:hAnsi="仿宋" w:cs="仿宋"/>
          <w:u w:color="auto"/>
        </w:rPr>
        <w:t>：</w:t>
      </w:r>
      <w:r>
        <w:rPr>
          <w:rFonts w:hint="eastAsia" w:ascii="仿宋" w:hAnsi="仿宋" w:eastAsia="仿宋" w:cs="仿宋"/>
        </w:rPr>
        <w:t>反映重大疾病、重大传染病预防控制等重大公共卫生服务项目支出。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三十二、住房保障支出(类)住房改革支出(款)住房公积金(项)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三十三、住房保障支出(类)住房改革支出(款)提租补贴(项)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三十四、住房保障支出(类)住房改革支出(款)购房补贴(项)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苏州市姑苏区疾病预防控制中心</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