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苏州市姑苏区社区卫生管理中心</w:t>
            </w:r>
            <w:r>
              <w:rPr>
                <w:b w:val="on"/>
                <w:rFonts w:ascii="宋体" w:eastAsia="宋体" w:hAnsi="宋体" w:cs="宋体"/>
                <w:sz w:val="52"/>
                <w:u w:color="auto"/>
              </w:rPr>
              <w:t xml:space="preserve"></w:t>
              <w:br w:type="textWrapping"/>
              <w:t>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（一）参与制订社区卫生的发展规划、政策措施。</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（二）研究拟订社区卫生服务机构的管理规范、标准和管理方式、运行机制以及考核评价办法，并组织实施。</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（三）组织开展对辖区社区卫生服务的政策调研、工作督导及运行监管。</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（四）对全区社区卫生服务机构及其基本医疗和基本公共卫生等工作落实情况进行业务指导、管理、监督、考核。</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（五）负责全区政府办社区卫生服务机构固定资产和财务管理；督促各政府办社区卫生服务机构执行预、决算和财务核算制度；负责全区卫生专项经费使用管理。</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（六）落实国家基本药物制度,做好基本药物集中采购、统一配送、积分考核、监督管理工作。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（七）组织对社区卫生服务机构人、财、物日常运转监测以及工作信息汇总、统计、分析、反馈。</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（八）制定社区卫生人才规划，组织全区社区卫生服务机构人员培训及绩效考核。</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本单位无内设机构。</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（一）强化基层卫生人才队伍建设</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1.完善人事管理制度。规范人事管理，完善人事档案。完善社区卫生服务机构专技岗位聘用实施方案。充分利用好现有编制资源，健全岗位管理和人员聘用制度，有序平稳完成机构工作人员专技岗位聘任工作。</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2.推进基层卫生人才招聘。规范开展事业招聘，充实基层医务人员队伍。2025年区民卫局下属事业单位通过区自主招聘，共招聘39人在编医务人员。</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（二）完善社区卫生服务体系建设</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今年来，进一步夯实辖区社区卫生服务体系建设进程，一是全面推进西北街中心、沧浪中心新建机构现场施工进度，现已基本完成硬装施工，正全力进行医疗等相关设施设备采购、安装及调试，预计2026年初完成并开业运营；二是完成桐星中心的改扩建，扩大了服务面积及服务内容，机构焕然一新，得到周边居民一致好评；三是紧密配合区住建、街道，推进润达中心及横街中心迁建项目、北部社区卫生服务中心新建项目施工前各项流程；四是全面完成三年行动计划目标任务。</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（三）优化基层服务能力，筑牢居民健康“服务基石”</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按照江苏省提升基层医疗卫生服务能力、推进健康江苏建设的重点任务要求，保护区、姑苏区优化分级诊疗机制、推进家庭医生签约、强化基本公共卫生服务、将中医药服务融入基层医疗，努力为居民提供便捷、高效、优质的社区卫生服务。</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1、全省率先推出个性化用药</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为破解基层慢性病患者“用药难”问题，姑苏区按照《江苏省基层医疗卫生机构个性化用药登记工作指引》，率先在6家基础条件成熟的社区卫生服务机构开展家庭医生个性化用药服务，通过优化药品采购流程，高效响应居民用药需求，药品同品质，专科药不愁。</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2、聚焦特色诊疗</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全区14家社区卫生服务中心聚焦群众需求，创新打造特色诊疗服务，共创建省级特色科室5个，市级特色科室22个。今年创建成功沧浪新城中心妇科、三香中心针灸推拿科、彩香一村中心内分泌科、桐星中心中医内科以及和泰中心中医针灸科等5个市级特色科室。全区建设有1个及以上特色科室的社区卫生服务中心已实现全覆盖率。</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3、开展“直通医院”服务深化医联体合作</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充分发挥辖区优质医疗资源集中的优势，推进区域医疗资源加速下沉，共建成综合医联体15家、专科医联体46家。放射系统、检验系统、心电24小时监护系统和动态血压监测系统全部实现上级医院远程会诊并结果互认；搭建CT、MR、无痛胃肠镜等大型设备检查的绿色通道，实现在社区卫生服务中心预约三级医院检查项目，省去了患者去大医院挂号、开单、预约检查的步骤，弥补基层医疗机构专科医疗技术、大型检查设备配备等方面的不足。今年截止目前已上转检查1009人次。</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4、优化家庭医生服务</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建立家庭医生团队130个，建成家庭医生工作室81个，省星级家庭医生工作室8家，2025年底，基层首诊签约率达19.21%，常住人口签约率56.32%,重点人群签约率83.44%,家庭医生签约门诊覆盖率达100%，今年推出家庭医生个性化用药服务，今年以来全省首推个性化用药服务，解决罹患多种慢性病、多病共存患者在不同医疗机构之间的配药困扰，帮助居民就近就便配药，在《健康报》、江苏卫视等媒体宣传推广。创新服务助升家医签约内涵。创新服务助升家医签约内涵。润达中心积极创建“心理健康+中医药+体卫融合”多学科协同服务模式，白莲中心申报“基于智能动态血糖监测技术的社区糖尿病规范管理研究及示范”创新项目，留园中心“家医+网格”深度融合服务创新模式，彩一中心根据居民的个性化需求，动态调整服务包内容，着眼于“一老一小”，中心重点推行儿童健康管理包及“胰”然自乐包。各机构还积极创建医联体专家工作室、联合病房，多方面助升家医签约服务内涵。</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5、开展“优质服务基层行”</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优质服务基层行”活动是提高基层防病治病和健康管理能力,让广大群众就近享有公平可及、系统连续的医疗卫生服务的重要举措，由国家卫健委和国家中国医药局联合组织。姑苏区持续开展优质服务基层行活动，对照服务能力标准，强化基层医疗卫生服务能力，针对薄弱机构，加大硬件投入，加强软件建设，强化服务能力，截止年底，姑苏区共有9家社区卫生服务中心达到国家推荐标准，达标率为64%。</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6、打通信息化壁垒</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通过信息化提升，全区基层卫生机构与市卫健委12320预约挂号系统全面对接，目前已有8家社区卫生服务机构接入市级12320平台。社区医生可在门诊系统帮助患者预约对应医联体医院的号源，居民在社区卫生服务中心取号机取号后就诊。</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7、专家号源下沉</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落实三级医院专家门诊号源下沉基层，居民提前预约三级医院专家号的时间，由原来的7天增加至19天，进一步缓解三级医院挂号难问题，居民就医更便捷，增强了居民对家庭医生的粘性。</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8、夯实中医药服务根基</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完成三元一村站、西园站“中医阁”提档升级，实现中医阁全覆盖（不含新建的联青站）。在专科建设方面，培育5家中医特色专科，润达中心开展脾胃病诊疗，彩香一村中心开展中医康复，白莲中心使用温针灸治疗各种寒症，娄江中心使用贴敷治疗各种慢性病，和泰中心使用针灸治疗腰痛、肩周炎等慢性疼痛类疾病，推动完善“一中心一中医特色”发展格局。在服务推广方面，举办8场中医适宜技术讲堂，8场中医药科普游园活动，开展“冬病夏治”三伏贴免费体验服务惠及5000名居民，让中医药健康服务真正走进社区、惠及百姓。</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9、提升老年人健康管理率</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与腾讯公司合作开发老年人体检预约小程序，打造“在线预约—体检提醒—报告查询”全流程数字化服务模式，让辖区老年人享受到“指尖操作、一站搞定”的新体验；针对行动不便、居住偏远的老年人，推动体检服务“向外延伸”：娄江社区卫生服务中心组建“康康GO”流动体检服务队，将体检车开进小区，提供免费检查；桐星社区卫生服务中心改造清塘新村为老服务中心闲置用房，建成家庭医生工作室，让老年人在门口就能享受到多元健康服务；完善健康管理信息平台，新增门诊就诊体检提醒功能，针对性建议增加个性化检查项目，实现“一次抽血、同步筛查”，减少老年人重复检查负担。</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苏州市姑苏区社区卫生管理中心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苏州市姑苏区社区卫生管理中心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15,075.23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1,290.29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31.59</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185.20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14,735.01</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40.22</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123.44</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1,250.07</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16,365.52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16,365.52</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16,365.52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16,365.52</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16,365.52</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16,365.52</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31.59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31.59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技术研究与开发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26.59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26.59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2060404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科技成果转化与扩散</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26.59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26.59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185.20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185.20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133.20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133.20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2080116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引进人才费用</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133.20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133.20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民政管理事务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50.94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50.94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33.96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33.96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16.98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16.98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14,735.01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14,735.01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1,087.47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1,087.47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509.47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509.47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578.00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578.00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13,562.71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13,562.71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13,562.71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13,562.71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21017</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中医药事务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0.50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0.50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2101799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其他中医药事务支出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0.50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0.50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84.33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84.33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84.33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84.33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40.22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40.22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40.22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40.22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2120803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城市建设支出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40.22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40.22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123.44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123.44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123.44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123.44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40.70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40.70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8.20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8.20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74.53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74.53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1,250.07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1,250.07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1,250.07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1,250.07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2290403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1,250.07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1,250.07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16,365.52</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513.25</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15,852.27</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31.59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31.59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技术研究与开发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26.59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26.59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2060404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科技成果转化与扩散</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26.59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26.59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185.20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50.94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134.26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人力资源和社会保障管理事务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133.20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133.20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2080116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引进人才费用</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133.20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133.20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民政管理事务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50.94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50.94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33.96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33.96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16.98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16.98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14,735.01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338.87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14,396.13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1,087.47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338.87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748.59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509.47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338.87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170.59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578.00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578.00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13,562.71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13,562.71</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13,562.71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13,562.71</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21017</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中医药事务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0.50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0.50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2101799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其他中医药事务支出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0.50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0.50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84.33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84.33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84.33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84.33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40.22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40.22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40.22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40.22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2120803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城市建设支出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40.22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40.22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123.44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123.44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123.44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123.44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40.70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40.70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8.20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8.20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74.53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74.53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1,250.07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1,250.07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1,250.07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1,250.07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2290403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其他政府性基金债务收入安排的支出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1,250.07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1,250.07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15,075.23</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1,290.29</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31.59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31.59</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185.20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185.20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14,735.01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14,735.01</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40.22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40.22</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123.44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123.44</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1,250.07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1,250.07</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16,365.52</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16,365.52</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15,075.23</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1,290.29</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16,365.52</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16,365.52</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15,075.23</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1,290.29</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16,365.52</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513.25</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15,852.27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31.59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31.59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技术研究与开发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26.59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26.59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2060404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科技成果转化与扩散</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26.59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26.59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185.20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50.94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134.26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133.20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133.20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2080116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引进人才费用</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133.20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133.20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民政管理事务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50.94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50.94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33.96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33.96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16.98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16.98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14,735.01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338.87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14,396.13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1,087.47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338.87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748.59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509.47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338.87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170.59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578.00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578.00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13,562.71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13,562.71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13,562.71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13,562.71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21017</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中医药事务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0.50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0.50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2101799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其他中医药事务支出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0.50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0.50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84.33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84.33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84.33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84.33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40.22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40.22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40.22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40.22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2120803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城市建设支出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40.22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40.22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123.44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123.44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123.44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123.44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40.70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8.20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8.20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74.53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74.53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1,250.07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1,250.07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1,250.07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1,250.07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2290403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1,250.07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1,250.07</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513.25</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480.06</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33.19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480.06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480.06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72.40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72.40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94.54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94.54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198.12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198.12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33.96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33.96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16.98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16.98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17.52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17.52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2.09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40.70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40.70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3.75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3.75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33.19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33.19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7.16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7.16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4.59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4.59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0.20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0.20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0.02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0.02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8.45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8.45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2.18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2.18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0.03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0.03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0.08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0.08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6.25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6.25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3.58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3.58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0.66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0.66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15,075.23</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513.25</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14,561.98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31.59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31.59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技术研究与开发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26.59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26.59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2060404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科技成果转化与扩散</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26.59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26.59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185.20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50.94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134.26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133.20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133.20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2080116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引进人才费用</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133.20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133.20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民政管理事务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50.94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50.94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33.96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33.96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16.98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16.98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14,735.01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338.87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14,396.13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1,087.47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338.87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748.59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509.47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338.87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170.59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578.00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578.00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13,562.71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13,562.71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13,562.71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13,562.71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21017</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中医药事务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0.50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0.50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2101799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其他中医药事务支出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0.50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0.50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84.33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84.33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84.33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84.33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123.44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123.44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123.44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123.44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40.70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40.70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8.20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8.20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74.53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74.53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513.25</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480.06</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33.19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480.06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480.06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72.40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72.40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94.54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94.54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198.12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198.12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33.96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33.96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16.98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16.98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17.52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17.52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2.09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2.09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40.70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40.70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3.75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3.75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33.19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33.19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7.16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7.16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4.59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4.59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0.20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0.20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0.02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0.02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8.45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8.45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2.18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2.18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0.03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0.03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0.08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0.08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6.25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6.25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3.58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3.58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0.66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0.66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3.65</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3.58</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3.58</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0.08</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0.03</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3.65</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3.58</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3.58</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0.08</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0.03</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9</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2</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20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1,290.29</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1,290.29</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40.22</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40.22</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40.22</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40.22</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2120803</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城市建设支出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40.22</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40.22</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1,250.07</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1,250.07</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22904</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1,250.07</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1,250.07</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2290403</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1,250.07</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1,250.07</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lang w:val="en-US"/>
        </w:rPr>
        <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u/>
        </w:rPr>
        <w:t>故本表为空。</w:t>
      </w:r>
      <w:r>
        <w:rPr>
          <w:rFonts w:ascii="仿宋" w:eastAsia="仿宋" w:hAnsi="仿宋" w:cs="仿宋"/>
          <w:u w:color="auto"/>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苏州市姑苏区社区卫生管理中心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1,268.58</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1,264.04</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4.54</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2025年度收入、支出决算总计16,365.52万元。与上年相比，收、支总计各增加1,482.84万元，增长9.96%。其中：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（一）收入决算总计16,365.52万元。包括：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1.本年收入决算合计16,365.52万元。与上年相比，增加1,482.84万元，增长9.96%，变动原因：基本公卫资金增加。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（二）支出决算总计16,365.52万元。包括：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1.本年支出决算合计16,365.52万元。与上年相比，增加1,482.84万元，增长9.96%，变动原因：基本公卫资金增加。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16,365.52万元，其中：财政拨款收入16,365.52万元，占100%；上级补助收入0万元，占0%；财政专户管理教育收费0万元，占0%；事业收入（不含专户管理教育收费）0万元，占0%；经营收入0万元，占0%；附属单位上缴收入0万元，占0%；其他收入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2025年度本年支出决算合计16,365.52万元，其中：基本支出513.25万元，占3.14%；项目支出15,852.27万元，占96.86%；上缴上级支出0万元，占0%；经营支出0万元，占0%；对附属单位补助支出0万元，占0%。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2025年度财政拨款收入、支出决算总计16,365.52万元。与上年相比，收、支总计各增加1,482.84万元，增长9.96%，变动原因：基本公卫资金增加。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2025年度财政拨款支出决算16,365.52万元，占本年支出合计的100%。与2025年度财政拨款支出年初预算12,076.47万元相比，完成年初预算的135.52%。其中：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（一）科学技术支出（类）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1.技术研究与开发（款）科技成果转化与扩散（项）。年初预算26.59万元，支出决算26.59万元，完成年初预算的100%。决算数与年初预算数相同。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2.其他科学技术支出（款）其他科学技术支出（项）。年初预算0万元，支出决算5万元，（年初预算数为0万元，无法计算完成比率）决算数与年初预算数的差异原因：下拨2025年度苏州市市级人才开发资金。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1.人力资源和社会保障管理事务（款）引进人才费用（项）。年初预算0万元，支出决算133.2万元，（年初预算数为0万元，无法计算完成比率）决算数与年初预算数的差异原因：下拨2024区卫生人才经费。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2.民政管理事务（款）一般行政管理事务（项）。年初预算0万元，支出决算1.06万元，（年初预算数为0万元，无法计算完成比率）决算数与年初预算数的差异原因：下达2025年姑苏区社区卫生医疗保障工作经费。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3.行政事业单位养老支出（款）机关事业单位基本养老保险缴费支出（项）。年初预算32.85万元，支出决算33.96万元，完成年初预算的103.38%。决算数与年初预算数的差异原因：基数调整。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4.行政事业单位养老支出（款）机关事业单位职业年金缴费支出（项）。年初预算16.43万元，支出决算16.98万元，完成年初预算的103.35%。决算数与年初预算数的差异原因：基数调整。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（三）卫生健康支出（类）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基层医疗卫生机构（款）城市社区卫生机构（项）。年初预算294.61万元，支出决算509.47万元，完成年初预算的172.93%。决算数与年初预算数的差异原因：上年结转双塔街道联青社区卫生服务站建设项、追加沧浪街道社区卫生服务中心设备采购项目预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基层医疗卫生机构（款）其他基层医疗卫生机构支出（项）。年初预算0万元，支出决算578万元，（年初预算数为0万元，无法计算完成比率）决算数与年初预算数的差异原因：2025年基本药物制度中央及省级补助资金总金额578万元为上级资金另行下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3.公共卫生（款）基本公共卫生服务（项）。年初预算11,576.28万元，支出决算13,562.71万元，完成年初预算的117.16%。决算数与年初预算数的差异原因：基本公卫中央级省级补助资金为上级资金另行下拨。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4.中医药事务（款）其他中医药事务支出（项）。年初预算0万元，支出决算0.5万元，（年初预算数为0万元，无法计算完成比率）决算数与年初预算数的差异原因：下拨2025年中医药事业发展省级补助资金。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其他卫生健康支出（款）其他卫生健康支出（项）。年初预算0万元，支出决算84.33万元，（年初预算数为0万元，无法计算完成比率）决算数与年初预算数的差异原因：下拨医务人员临时性工作补助(2020.10.01-2022.12.06)、下拨2025年江苏省卫生健康事业发展专项资金（慢病筛防中心建设）、下拨2025年江苏省卫生健康事业发展专项资金（家庭医生签约服务模式创新试点）、下拨2025年江苏省卫生健康事业发展专项资金（基层骨干人才奖补）、下拨姑苏区失能老年人健康服务试点工作经费、下拨平江新城社区卫生服务中心防蚊灭蚊工作经费、下拨老年痴呆筛查试点工作经费（2025省卫生健康事业发展专项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（四）城乡社区支出（类）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国有土地使用权出让收入安排的支出（款）城市建设支出（项）。年初预算0万元，支出决算40.22万元，（年初预算数为0万元，无法计算完成比率）决算数与年初预算数的差异原因：姑苏区城建项目—西北街社区服务综合体建设项目，依据建设进度经费为上年结转后使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1.住房改革支出（款）住房公积金（项）。年初预算41.11万元，支出决算40.7万元，完成年初预算的99%。决算数与年初预算数的差异原因：按政策调薪。</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2.住房改革支出（款）提租补贴（项）。年初预算8.2万元，支出决算8.2万元，完成年初预算的100%。决算数与年初预算数相同。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3.住房改革支出（款）购房补贴（项）。年初预算80.4万元，支出决算74.53万元，完成年初预算的92.7%。决算数与年初预算数的差异原因：按政策调薪。</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（六）其他支出（类）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其他政府性基金及对应专项债务收入安排的支出（款）其他政府性基金债务收入安排的支出（项）。年初预算0万元，支出决算1,250.07万元，（年初预算数为0万元，无法计算完成比率）决算数与年初预算数的差异原因：地方政府专项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2025年度财政拨款基本支出决算513.25万元，其中：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（一）人员经费480.06万元。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主要包括：基本工资、津贴补贴、绩效工资、机关事业单位基本养老保险缴费、职业年金缴费、职工基本医疗保险缴费、其他社会保障缴费、住房公积金、医疗费。</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（二）公用经费33.19万元。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主要包括：办公费、印刷费、水费、邮电费、差旅费、租赁费、会议费、公务接待费、委托业务费、公务用车运行维护费、其他商品和服务支出。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2025年度一般公共预算财政拨款支出决算15,075.23万元。与上年相比，增加476.9万元，增长3.27%，变动原因：基本公卫资金增加。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2025年度一般公共预算财政拨款基本支出决算513.25万元，其中：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（一）人员经费480.06万元。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主要包括：基本工资、津贴补贴、绩效工资、机关事业单位基本养老保险缴费、职业年金缴费、职工基本医疗保险缴费、其他社会保障缴费、住房公积金、医疗费。</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（二）公用经费33.19万元。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主要包括：办公费、印刷费、水费、邮电费、差旅费、租赁费、会议费、公务接待费、委托业务费、公务用车运行维护费、其他商品和服务支出。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3.65万元（其中：一般公共预算支出3.65万元；政府性基金预算支出0万元；国有资本经营预算支出0万元）。与上年相比，减少0.31万元，变动原因：厉行节约。其中，因公出国（境）费支出0万元，占“三公”经费的0%；公务用车购置及运行维护费支出3.58万元，占“三公”经费的97.81%；公务接待费支出0.08万元，占“三公”经费的2.19%。2025年度财政拨款“三公”经费支出预算3.65万元（其中：一般公共预算支出3.65万元；政府性基金预算支出0万元；国有资本经营预算支出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3.58万元（其中：一般公共预算支出3.58万元；政府性基金预算支出0万元；国有资本经营预算支出0万元），支出决算3.58万元（其中：一般公共预算支出3.58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3.58万元。公务用车运行维护费主要用于按规定保留的公务用车的燃料费、维修费、过桥过路费、保险费、安全奖励费用等支出。截至2025年12月31日，使用财政拨款开支的公务用车保有量为1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0.08万元（其中：一般公共预算支出0.08万元；政府性基金预算支出0万元；国有资本经营预算支出0万元），支出决算0.08万元（其中：一般公共预算支出0.08万元；政府性基金预算支出0万元；国有资本经营预算支出0万元），完成调整后预算的100%，决算数与预算数相同。其中：国内公务接待支出0.08万元，接待1批次，9人次，开支内容：2024年度国家基本公卫项目市级绩效评价餐费；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0.03万元（其中：一般公共预算支出0.03万元；政府性基金预算支出0万元；国有资本经营预算支出0万元），支出决算0.03万元（其中：一般公共预算支出0.03万元；政府性基金预算支出0万元；国有资本经营预算支出0万元），完成调整后预算的100%，决算数与预算数相同。2025年度全年召开会议2个，参加会议20人次，开支内容：赴南京参加省基层医疗卫生机构精神科门诊建设专项培训会议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2025年度政府性基金预算财政拨款支出决算1,290.29万元。与上年相比，增加1,005.94万元，增长353.77%，变动原因：姑苏区城建项目—西北街社区服务综合体建设项目举地方政府专项债。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1,268.58万元，其中：政府采购货物支出1,264.04万元、政府采购工程支出0万元、政府采购服务支出4.54万元。政府采购授予中小企业合同金额0万元，占政府采购支出总额的0%，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1辆，其中：副部(省)级及以上领导用车0辆、主要负责人用车0辆、机要通信用车0辆、应急保障用车0辆、执法执勤用车0辆、特种专业技术用车0辆、离退休干部用车0辆、其他用车1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本单位共对上年度已实施完成的9个项目开展了绩效自评价，涉及财政性资金合计11,590.51万元；本单位共开展1项单位整体支出绩效自评价，涉及财政性资金合计12,076.47万元。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十九、科学技术支出(类)技术研究与开发(款)科技成果转化与扩散(项)</w:t>
      </w:r>
      <w:r>
        <w:rPr>
          <w:b w:val="on"/>
          <w:rFonts w:ascii="仿宋" w:eastAsia="仿宋" w:hAnsi="仿宋" w:cs="仿宋"/>
          <w:u w:color="auto"/>
        </w:rPr>
        <w:t>：</w:t>
      </w:r>
      <w:r>
        <w:rPr>
          <w:rFonts w:hint="eastAsia" w:ascii="仿宋" w:hAnsi="仿宋" w:eastAsia="仿宋" w:cs="仿宋"/>
        </w:rPr>
        <w:t>反映促进科技成果转化为现实生产力的应用、推广和引导性支出，以及基本建设支出中用于支持企业科技自主创新的支出。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二十、科学技术支出(类)其他科学技术支出(款)其他科学技术支出(项)</w:t>
      </w:r>
      <w:r>
        <w:rPr>
          <w:b w:val="on"/>
          <w:rFonts w:ascii="仿宋" w:eastAsia="仿宋" w:hAnsi="仿宋" w:cs="仿宋"/>
          <w:u w:color="auto"/>
        </w:rPr>
        <w:t>：</w:t>
      </w:r>
      <w:r>
        <w:rPr>
          <w:rFonts w:hint="eastAsia" w:ascii="仿宋" w:hAnsi="仿宋" w:eastAsia="仿宋" w:cs="仿宋"/>
        </w:rPr>
        <w:t>反映其他科学技术支出中除以上各项外用于科技方面的支出。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二十一、社会保障和就业支出(类)人力资源和社会保障管理事务(款)引进人才费用(项)</w:t>
      </w:r>
      <w:r>
        <w:rPr>
          <w:b w:val="on"/>
          <w:rFonts w:ascii="仿宋" w:eastAsia="仿宋" w:hAnsi="仿宋" w:cs="仿宋"/>
          <w:u w:color="auto"/>
        </w:rPr>
        <w:t>：</w:t>
      </w:r>
      <w:r>
        <w:rPr>
          <w:rFonts w:hint="eastAsia" w:ascii="仿宋" w:hAnsi="仿宋" w:eastAsia="仿宋" w:cs="仿宋"/>
        </w:rPr>
        <w:t>反映用于引进外国专家补助、引智成果推广等方面的支出。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二十二、社会保障和就业支出(类)民政管理事务(款)一般行政管理事务(项)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二十五、卫生健康支出(类)基层医疗卫生机构(款)城市社区卫生机构(项)</w:t>
      </w:r>
      <w:r>
        <w:rPr>
          <w:b w:val="on"/>
          <w:rFonts w:ascii="仿宋" w:eastAsia="仿宋" w:hAnsi="仿宋" w:cs="仿宋"/>
          <w:u w:color="auto"/>
        </w:rPr>
        <w:t>：</w:t>
      </w:r>
      <w:r>
        <w:rPr>
          <w:rFonts w:hint="eastAsia" w:ascii="仿宋" w:hAnsi="仿宋" w:eastAsia="仿宋" w:cs="仿宋"/>
        </w:rPr>
        <w:t>反映用于城市社区卫生机构的支出。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二十六、卫生健康支出(类)基层医疗卫生机构(款)其他基层医疗卫生机构支出(项)</w:t>
      </w:r>
      <w:r>
        <w:rPr>
          <w:b w:val="on"/>
          <w:rFonts w:ascii="仿宋" w:eastAsia="仿宋" w:hAnsi="仿宋" w:cs="仿宋"/>
          <w:u w:color="auto"/>
        </w:rPr>
        <w:t>：</w:t>
      </w:r>
      <w:r>
        <w:rPr>
          <w:rFonts w:hint="eastAsia" w:ascii="仿宋" w:hAnsi="仿宋" w:eastAsia="仿宋" w:cs="仿宋"/>
        </w:rPr>
        <w:t>反映除上述项目以外的其他用于基层医疗卫生机构的支出。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二十七、卫生健康支出(类)公共卫生(款)基本公共卫生服务(项)</w:t>
      </w:r>
      <w:r>
        <w:rPr>
          <w:b w:val="on"/>
          <w:rFonts w:ascii="仿宋" w:eastAsia="仿宋" w:hAnsi="仿宋" w:cs="仿宋"/>
          <w:u w:color="auto"/>
        </w:rPr>
        <w:t>：</w:t>
      </w:r>
      <w:r>
        <w:rPr>
          <w:rFonts w:hint="eastAsia" w:ascii="仿宋" w:hAnsi="仿宋" w:eastAsia="仿宋" w:cs="仿宋"/>
        </w:rPr>
        <w:t>反映基本公共卫生服务项目支出。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二十八、卫生健康支出(类)中医药事务(款)其他中医药事务支出(项)</w:t>
      </w:r>
      <w:r>
        <w:rPr>
          <w:b w:val="on"/>
          <w:rFonts w:ascii="仿宋" w:eastAsia="仿宋" w:hAnsi="仿宋" w:cs="仿宋"/>
          <w:u w:color="auto"/>
        </w:rPr>
        <w:t>：</w:t>
      </w:r>
      <w:r>
        <w:rPr>
          <w:rFonts w:hint="eastAsia" w:ascii="仿宋" w:hAnsi="仿宋" w:eastAsia="仿宋" w:cs="仿宋"/>
        </w:rPr>
        <w:t>反映除上述项目以外的其他用于中医药事务方面的支出。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二十九、卫生健康支出(类)其他卫生健康支出(款)其他卫生健康支出(项)</w:t>
      </w:r>
      <w:r>
        <w:rPr>
          <w:b w:val="on"/>
          <w:rFonts w:ascii="仿宋" w:eastAsia="仿宋" w:hAnsi="仿宋" w:cs="仿宋"/>
          <w:u w:color="auto"/>
        </w:rPr>
        <w:t>：</w:t>
      </w:r>
      <w:r>
        <w:rPr>
          <w:rFonts w:hint="eastAsia" w:ascii="仿宋" w:hAnsi="仿宋" w:eastAsia="仿宋" w:cs="仿宋"/>
        </w:rPr>
        <w:t>反映除上述项目以外其他用于卫生健康方面的支出。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三十、城乡社区支出(类)国有土地使用权出让收入安排的支出(款)城市建设支出(项)</w:t>
      </w:r>
      <w:r>
        <w:rPr>
          <w:b w:val="on"/>
          <w:rFonts w:ascii="仿宋" w:eastAsia="仿宋" w:hAnsi="仿宋" w:cs="仿宋"/>
          <w:u w:color="auto"/>
        </w:rPr>
        <w:t>：</w:t>
      </w:r>
      <w:r>
        <w:rPr>
          <w:rFonts w:hint="eastAsia" w:ascii="仿宋" w:hAnsi="仿宋" w:eastAsia="仿宋" w:cs="仿宋"/>
        </w:rPr>
        <w:t>反映土地出让收入用于完善国有土地使用功能的配套设施建设和城市基础设施建设支出。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三十一、住房保障支出(类)住房改革支出(款)住房公积金(项)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三十二、住房保障支出(类)住房改革支出(款)提租补贴(项)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三十三、住房保障支出(类)住房改革支出(款)购房补贴(项)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三十四、其他支出(类)其他政府性基金及对应专项债务收入安排的支出(款)其他政府性基金债务收入安排的支出(项)</w:t>
      </w:r>
      <w:r>
        <w:rPr>
          <w:b w:val="on"/>
          <w:rFonts w:ascii="仿宋" w:eastAsia="仿宋" w:hAnsi="仿宋" w:cs="仿宋"/>
          <w:u w:color="auto"/>
        </w:rPr>
        <w:t>：</w:t>
      </w:r>
      <w:r>
        <w:rPr>
          <w:rFonts w:hint="eastAsia" w:ascii="仿宋" w:hAnsi="仿宋" w:eastAsia="仿宋" w:cs="仿宋"/>
        </w:rPr>
        <w:t>反映其他政府性基金对应专项债务收入安排的支出。</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苏州市姑苏区社区卫生管理中心</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